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33274" w14:textId="46307818" w:rsidR="007D497D" w:rsidRPr="007D497D" w:rsidRDefault="001A3D85" w:rsidP="00727BCF">
      <w:pPr>
        <w:shd w:val="clear" w:color="auto" w:fill="FFFFFF"/>
        <w:spacing w:line="360" w:lineRule="atLeast"/>
        <w:rPr>
          <w:rFonts w:ascii="Times New Roman" w:eastAsia="Times New Roman" w:hAnsi="Times New Roman" w:cs="Times New Roman"/>
          <w:b/>
          <w:color w:val="000000"/>
          <w:sz w:val="24"/>
          <w:szCs w:val="24"/>
          <w:u w:val="single"/>
          <w:lang w:val="en"/>
        </w:rPr>
      </w:pPr>
      <w:r w:rsidRPr="001A3D85">
        <w:rPr>
          <w:rFonts w:ascii="Times New Roman" w:eastAsia="Times New Roman" w:hAnsi="Times New Roman" w:cs="Times New Roman"/>
          <w:b/>
          <w:color w:val="000000"/>
          <w:sz w:val="24"/>
          <w:szCs w:val="24"/>
          <w:u w:val="single"/>
          <w:lang w:val="en"/>
        </w:rPr>
        <w:t>Involving Non-DeSales Institutions in DeSales Human Subjects Research</w:t>
      </w:r>
    </w:p>
    <w:p w14:paraId="5CC47A3F" w14:textId="4D029173" w:rsidR="00727BCF" w:rsidRPr="005A2746" w:rsidRDefault="00727BCF" w:rsidP="00727BCF">
      <w:pPr>
        <w:shd w:val="clear" w:color="auto" w:fill="FFFFFF"/>
        <w:spacing w:line="360" w:lineRule="atLeast"/>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When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investigators are involved in research with collaborating institutions,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will ensure the following:</w:t>
      </w:r>
    </w:p>
    <w:p w14:paraId="7892BBF8" w14:textId="77777777" w:rsidR="00727BCF" w:rsidRPr="005A2746" w:rsidRDefault="00727BCF" w:rsidP="00727BCF">
      <w:pPr>
        <w:numPr>
          <w:ilvl w:val="0"/>
          <w:numId w:val="1"/>
        </w:numPr>
        <w:shd w:val="clear" w:color="auto" w:fill="FFFFFF"/>
        <w:spacing w:line="360" w:lineRule="atLeast"/>
        <w:ind w:left="72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If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is the prime awardee under a federal grant, contract, or cooperative agreement</w:t>
      </w:r>
      <w:r>
        <w:rPr>
          <w:rFonts w:ascii="Times New Roman" w:eastAsia="Times New Roman" w:hAnsi="Times New Roman" w:cs="Times New Roman"/>
          <w:color w:val="000000"/>
          <w:sz w:val="24"/>
          <w:szCs w:val="24"/>
          <w:lang w:val="en"/>
        </w:rPr>
        <w:t xml:space="preserve">, or is the coordinating center for federally conducted or supported research, </w:t>
      </w:r>
      <w:r w:rsidRPr="005A2746">
        <w:rPr>
          <w:rFonts w:ascii="Times New Roman" w:eastAsia="Times New Roman" w:hAnsi="Times New Roman" w:cs="Times New Roman"/>
          <w:color w:val="000000"/>
          <w:sz w:val="24"/>
          <w:szCs w:val="24"/>
          <w:lang w:val="en"/>
        </w:rPr>
        <w:t xml:space="preserve">then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will ensure that all collaborating research sites engaged</w:t>
      </w:r>
      <w:r>
        <w:rPr>
          <w:rFonts w:ascii="Times New Roman" w:eastAsia="Times New Roman" w:hAnsi="Times New Roman" w:cs="Times New Roman"/>
          <w:color w:val="000000"/>
          <w:sz w:val="24"/>
          <w:szCs w:val="24"/>
          <w:lang w:val="en"/>
        </w:rPr>
        <w:t xml:space="preserve"> in such research operate </w:t>
      </w:r>
      <w:r w:rsidRPr="005A2746">
        <w:rPr>
          <w:rFonts w:ascii="Times New Roman" w:eastAsia="Times New Roman" w:hAnsi="Times New Roman" w:cs="Times New Roman"/>
          <w:color w:val="000000"/>
          <w:sz w:val="24"/>
          <w:szCs w:val="24"/>
          <w:lang w:val="en"/>
        </w:rPr>
        <w:t>appropriate</w:t>
      </w:r>
      <w:r>
        <w:rPr>
          <w:rFonts w:ascii="Times New Roman" w:eastAsia="Times New Roman" w:hAnsi="Times New Roman" w:cs="Times New Roman"/>
          <w:color w:val="000000"/>
          <w:sz w:val="24"/>
          <w:szCs w:val="24"/>
          <w:lang w:val="en"/>
        </w:rPr>
        <w:t>ly</w:t>
      </w:r>
      <w:r w:rsidRPr="005A2746">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 xml:space="preserve">following the OHRP-approved guidelines </w:t>
      </w:r>
      <w:r w:rsidRPr="005A2746">
        <w:rPr>
          <w:rFonts w:ascii="Times New Roman" w:eastAsia="Times New Roman" w:hAnsi="Times New Roman" w:cs="Times New Roman"/>
          <w:color w:val="000000"/>
          <w:sz w:val="24"/>
          <w:szCs w:val="24"/>
          <w:lang w:val="en"/>
        </w:rPr>
        <w:t>for the protection of human subjects.</w:t>
      </w:r>
    </w:p>
    <w:p w14:paraId="30420751" w14:textId="77777777" w:rsidR="00727BCF" w:rsidRDefault="00727BCF" w:rsidP="00727BCF">
      <w:pPr>
        <w:numPr>
          <w:ilvl w:val="0"/>
          <w:numId w:val="1"/>
        </w:numPr>
        <w:shd w:val="clear" w:color="auto" w:fill="FFFFFF"/>
        <w:spacing w:line="360" w:lineRule="atLeast"/>
        <w:ind w:left="72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Regardless of the source of sponsorship, all investigators must follow additional requirements of the non-</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institution (including additional IRB review, if required).</w:t>
      </w:r>
    </w:p>
    <w:p w14:paraId="701F6964" w14:textId="77777777" w:rsidR="00727BCF" w:rsidRDefault="00727BCF" w:rsidP="00727BCF">
      <w:pPr>
        <w:widowControl w:val="0"/>
        <w:rPr>
          <w:rFonts w:ascii="Times New Roman" w:eastAsia="Times New Roman" w:hAnsi="Times New Roman" w:cs="Times New Roman"/>
          <w:color w:val="000000"/>
          <w:sz w:val="24"/>
          <w:szCs w:val="24"/>
          <w:lang w:val="en"/>
        </w:rPr>
      </w:pPr>
    </w:p>
    <w:p w14:paraId="001B1FA9" w14:textId="77777777" w:rsidR="00727BCF" w:rsidRPr="00023BAE" w:rsidRDefault="00727BCF" w:rsidP="00727BCF">
      <w:pPr>
        <w:shd w:val="clear" w:color="auto" w:fill="FFFFFF"/>
        <w:spacing w:line="360" w:lineRule="atLeast"/>
        <w:rPr>
          <w:rFonts w:ascii="Times New Roman" w:eastAsia="Times New Roman" w:hAnsi="Times New Roman" w:cs="Times New Roman"/>
          <w:b/>
          <w:bCs/>
          <w:color w:val="000000"/>
          <w:sz w:val="24"/>
          <w:szCs w:val="24"/>
          <w:u w:val="single"/>
          <w:lang w:val="en"/>
        </w:rPr>
      </w:pPr>
      <w:r w:rsidRPr="00023BAE">
        <w:rPr>
          <w:rFonts w:ascii="Times New Roman" w:eastAsia="Times New Roman" w:hAnsi="Times New Roman" w:cs="Times New Roman"/>
          <w:b/>
          <w:bCs/>
          <w:color w:val="000000"/>
          <w:sz w:val="24"/>
          <w:szCs w:val="24"/>
          <w:u w:val="single"/>
          <w:lang w:val="en"/>
        </w:rPr>
        <w:t>Definitions</w:t>
      </w:r>
    </w:p>
    <w:p w14:paraId="2B9A5376" w14:textId="77777777" w:rsidR="00727BCF" w:rsidRPr="005A2746" w:rsidRDefault="00727BCF" w:rsidP="00727BCF">
      <w:pPr>
        <w:shd w:val="clear" w:color="auto" w:fill="FFFFFF"/>
        <w:spacing w:line="360" w:lineRule="atLeast"/>
        <w:rPr>
          <w:rFonts w:ascii="Times New Roman" w:eastAsia="Times New Roman" w:hAnsi="Times New Roman" w:cs="Times New Roman"/>
          <w:color w:val="000000"/>
          <w:sz w:val="24"/>
          <w:szCs w:val="24"/>
          <w:lang w:val="en"/>
        </w:rPr>
      </w:pPr>
      <w:r w:rsidRPr="001A3D85">
        <w:rPr>
          <w:rFonts w:ascii="Times New Roman" w:eastAsia="Times New Roman" w:hAnsi="Times New Roman" w:cs="Times New Roman"/>
          <w:b/>
          <w:bCs/>
          <w:color w:val="000000"/>
          <w:sz w:val="24"/>
          <w:szCs w:val="24"/>
          <w:lang w:val="en"/>
        </w:rPr>
        <w:t>Engagement in Research</w:t>
      </w:r>
      <w:r w:rsidRPr="005A2746">
        <w:rPr>
          <w:rFonts w:ascii="Times New Roman" w:eastAsia="Times New Roman" w:hAnsi="Times New Roman" w:cs="Times New Roman"/>
          <w:color w:val="000000"/>
          <w:sz w:val="24"/>
          <w:szCs w:val="24"/>
          <w:lang w:val="en"/>
        </w:rPr>
        <w:t>: A non-</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institution becomes "engaged" in human subjects research when its employees or agents (</w:t>
      </w:r>
      <w:proofErr w:type="spellStart"/>
      <w:r w:rsidRPr="005A2746">
        <w:rPr>
          <w:rFonts w:ascii="Times New Roman" w:eastAsia="Times New Roman" w:hAnsi="Times New Roman" w:cs="Times New Roman"/>
          <w:color w:val="000000"/>
          <w:sz w:val="24"/>
          <w:szCs w:val="24"/>
          <w:lang w:val="en"/>
        </w:rPr>
        <w:t>i</w:t>
      </w:r>
      <w:proofErr w:type="spellEnd"/>
      <w:r w:rsidRPr="005A2746">
        <w:rPr>
          <w:rFonts w:ascii="Times New Roman" w:eastAsia="Times New Roman" w:hAnsi="Times New Roman" w:cs="Times New Roman"/>
          <w:color w:val="000000"/>
          <w:sz w:val="24"/>
          <w:szCs w:val="24"/>
          <w:lang w:val="en"/>
        </w:rPr>
        <w:t>) intervene or interact with living individuals for research purposes; or (ii) obtain individually identifiable private information for research purposes [45 CFR 46.102(d)-(f)].</w:t>
      </w:r>
    </w:p>
    <w:p w14:paraId="5A80B121" w14:textId="77777777" w:rsidR="00727BCF" w:rsidRDefault="00727BCF" w:rsidP="00727BCF">
      <w:pPr>
        <w:shd w:val="clear" w:color="auto" w:fill="FFFFFF"/>
        <w:spacing w:line="360" w:lineRule="atLeast"/>
        <w:rPr>
          <w:rFonts w:ascii="Times New Roman" w:eastAsia="Times New Roman" w:hAnsi="Times New Roman" w:cs="Times New Roman"/>
          <w:color w:val="000000"/>
          <w:sz w:val="24"/>
          <w:szCs w:val="24"/>
          <w:lang w:val="en"/>
        </w:rPr>
      </w:pPr>
      <w:r w:rsidRPr="001A3D85">
        <w:rPr>
          <w:rFonts w:ascii="Times New Roman" w:eastAsia="Times New Roman" w:hAnsi="Times New Roman" w:cs="Times New Roman"/>
          <w:b/>
          <w:bCs/>
          <w:color w:val="000000"/>
          <w:sz w:val="24"/>
          <w:szCs w:val="24"/>
          <w:lang w:val="en"/>
        </w:rPr>
        <w:t>Non-</w:t>
      </w:r>
      <w:r>
        <w:rPr>
          <w:rFonts w:ascii="Times New Roman" w:eastAsia="Times New Roman" w:hAnsi="Times New Roman" w:cs="Times New Roman"/>
          <w:b/>
          <w:bCs/>
          <w:color w:val="000000"/>
          <w:sz w:val="24"/>
          <w:szCs w:val="24"/>
          <w:lang w:val="en"/>
        </w:rPr>
        <w:t>DeSales</w:t>
      </w:r>
      <w:r w:rsidRPr="001A3D85">
        <w:rPr>
          <w:rFonts w:ascii="Times New Roman" w:eastAsia="Times New Roman" w:hAnsi="Times New Roman" w:cs="Times New Roman"/>
          <w:b/>
          <w:bCs/>
          <w:color w:val="000000"/>
          <w:sz w:val="24"/>
          <w:szCs w:val="24"/>
          <w:lang w:val="en"/>
        </w:rPr>
        <w:t xml:space="preserve"> Institution</w:t>
      </w:r>
      <w:r w:rsidRPr="005A2746">
        <w:rPr>
          <w:rFonts w:ascii="Times New Roman" w:eastAsia="Times New Roman" w:hAnsi="Times New Roman" w:cs="Times New Roman"/>
          <w:color w:val="000000"/>
          <w:sz w:val="24"/>
          <w:szCs w:val="24"/>
          <w:lang w:val="en"/>
        </w:rPr>
        <w:t xml:space="preserve">: An institution (or an employee or agent of the institution) that is not under the authority of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and is located within the United States or a United States territory. Examples include clinics, schools, other universities, consulting firms, or other institutions where activities include interaction or intervention with human subjects and/or the collection or analysis of identifiable data. </w:t>
      </w:r>
    </w:p>
    <w:p w14:paraId="1618305C" w14:textId="77777777" w:rsidR="00727BCF" w:rsidRDefault="00727BCF" w:rsidP="00727BCF">
      <w:pPr>
        <w:shd w:val="clear" w:color="auto" w:fill="FFFFFF"/>
        <w:spacing w:line="360" w:lineRule="atLeast"/>
        <w:rPr>
          <w:rFonts w:ascii="Times New Roman" w:eastAsia="Times New Roman" w:hAnsi="Times New Roman" w:cs="Times New Roman"/>
          <w:color w:val="000000"/>
          <w:sz w:val="24"/>
          <w:szCs w:val="24"/>
          <w:lang w:val="en"/>
        </w:rPr>
      </w:pPr>
      <w:r>
        <w:rPr>
          <w:rFonts w:ascii="Times New Roman" w:eastAsia="Times New Roman" w:hAnsi="Times New Roman" w:cs="Times New Roman"/>
          <w:b/>
          <w:bCs/>
          <w:color w:val="000000"/>
          <w:sz w:val="24"/>
          <w:szCs w:val="24"/>
          <w:lang w:val="en"/>
        </w:rPr>
        <w:t>DeSales</w:t>
      </w:r>
      <w:r w:rsidRPr="001A3D85">
        <w:rPr>
          <w:rFonts w:ascii="Times New Roman" w:eastAsia="Times New Roman" w:hAnsi="Times New Roman" w:cs="Times New Roman"/>
          <w:b/>
          <w:bCs/>
          <w:color w:val="000000"/>
          <w:sz w:val="24"/>
          <w:szCs w:val="24"/>
          <w:lang w:val="en"/>
        </w:rPr>
        <w:t xml:space="preserve"> Research Activity</w:t>
      </w:r>
      <w:r w:rsidRPr="005A2746">
        <w:rPr>
          <w:rFonts w:ascii="Times New Roman" w:eastAsia="Times New Roman" w:hAnsi="Times New Roman" w:cs="Times New Roman"/>
          <w:color w:val="000000"/>
          <w:sz w:val="24"/>
          <w:szCs w:val="24"/>
          <w:lang w:val="en"/>
        </w:rPr>
        <w:t xml:space="preserve">: any human subject research activity that is supported with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funds or by funds awarded/contributed to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and/or is conducted by a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faculty, staff or student using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facilities, personnel/students, research subjects, data or other non-public resources.</w:t>
      </w:r>
    </w:p>
    <w:p w14:paraId="3903E614" w14:textId="77777777" w:rsidR="00727BCF" w:rsidRDefault="00727BCF" w:rsidP="00727BCF">
      <w:pPr>
        <w:shd w:val="clear" w:color="auto" w:fill="FFFFFF"/>
        <w:spacing w:line="360" w:lineRule="atLeast"/>
        <w:rPr>
          <w:rFonts w:ascii="Times New Roman" w:eastAsia="Times New Roman" w:hAnsi="Times New Roman" w:cs="Times New Roman"/>
          <w:color w:val="000000"/>
          <w:sz w:val="24"/>
          <w:szCs w:val="24"/>
          <w:lang w:val="en"/>
        </w:rPr>
      </w:pPr>
    </w:p>
    <w:p w14:paraId="659E70FE" w14:textId="77777777" w:rsidR="00727BCF" w:rsidRPr="00023BAE" w:rsidRDefault="00727BCF" w:rsidP="00727BCF">
      <w:pPr>
        <w:shd w:val="clear" w:color="auto" w:fill="FFFFFF"/>
        <w:spacing w:line="360" w:lineRule="atLeast"/>
        <w:rPr>
          <w:rFonts w:ascii="Times New Roman" w:eastAsia="Times New Roman" w:hAnsi="Times New Roman" w:cs="Times New Roman"/>
          <w:b/>
          <w:bCs/>
          <w:color w:val="000000"/>
          <w:sz w:val="24"/>
          <w:szCs w:val="24"/>
          <w:u w:val="single"/>
          <w:lang w:val="en"/>
        </w:rPr>
      </w:pPr>
      <w:r w:rsidRPr="00023BAE">
        <w:rPr>
          <w:rFonts w:ascii="Times New Roman" w:eastAsia="Times New Roman" w:hAnsi="Times New Roman" w:cs="Times New Roman"/>
          <w:b/>
          <w:bCs/>
          <w:color w:val="000000"/>
          <w:sz w:val="24"/>
          <w:szCs w:val="24"/>
          <w:u w:val="single"/>
          <w:lang w:val="en"/>
        </w:rPr>
        <w:t>Procedures and Guidance</w:t>
      </w:r>
    </w:p>
    <w:p w14:paraId="0A61B76A" w14:textId="77777777" w:rsidR="00727BCF" w:rsidRDefault="00727BCF" w:rsidP="00727BCF">
      <w:pPr>
        <w:shd w:val="clear" w:color="auto" w:fill="FFFFFF"/>
        <w:spacing w:line="360" w:lineRule="atLeast"/>
        <w:rPr>
          <w:rFonts w:ascii="Times New Roman" w:eastAsia="Times New Roman" w:hAnsi="Times New Roman" w:cs="Times New Roman"/>
          <w:color w:val="000000"/>
          <w:sz w:val="24"/>
          <w:szCs w:val="24"/>
          <w:lang w:val="en"/>
        </w:rPr>
      </w:pPr>
      <w:r w:rsidRPr="001A3D85">
        <w:rPr>
          <w:rFonts w:ascii="Times New Roman" w:eastAsia="Times New Roman" w:hAnsi="Times New Roman" w:cs="Times New Roman"/>
          <w:b/>
          <w:bCs/>
          <w:color w:val="000000"/>
          <w:sz w:val="24"/>
          <w:szCs w:val="24"/>
          <w:lang w:val="en"/>
        </w:rPr>
        <w:t>Non-</w:t>
      </w:r>
      <w:r>
        <w:rPr>
          <w:rFonts w:ascii="Times New Roman" w:eastAsia="Times New Roman" w:hAnsi="Times New Roman" w:cs="Times New Roman"/>
          <w:b/>
          <w:bCs/>
          <w:color w:val="000000"/>
          <w:sz w:val="24"/>
          <w:szCs w:val="24"/>
          <w:lang w:val="en"/>
        </w:rPr>
        <w:t>DeSales</w:t>
      </w:r>
      <w:r w:rsidRPr="001A3D85">
        <w:rPr>
          <w:rFonts w:ascii="Times New Roman" w:eastAsia="Times New Roman" w:hAnsi="Times New Roman" w:cs="Times New Roman"/>
          <w:b/>
          <w:bCs/>
          <w:color w:val="000000"/>
          <w:sz w:val="24"/>
          <w:szCs w:val="24"/>
          <w:lang w:val="en"/>
        </w:rPr>
        <w:t xml:space="preserve"> Institutions NOT ENGAGED - Submission Process:</w:t>
      </w:r>
      <w:r w:rsidRPr="005A2746">
        <w:rPr>
          <w:rFonts w:ascii="Times New Roman" w:eastAsia="Times New Roman" w:hAnsi="Times New Roman" w:cs="Times New Roman"/>
          <w:color w:val="000000"/>
          <w:sz w:val="24"/>
          <w:szCs w:val="24"/>
          <w:lang w:val="en"/>
        </w:rPr>
        <w:t xml:space="preserve"> </w:t>
      </w:r>
    </w:p>
    <w:p w14:paraId="61C609A4" w14:textId="77777777" w:rsidR="00727BCF" w:rsidRPr="005A2746" w:rsidRDefault="00727BCF" w:rsidP="00727BCF">
      <w:pPr>
        <w:shd w:val="clear" w:color="auto" w:fill="FFFFFF"/>
        <w:spacing w:line="360" w:lineRule="atLeast"/>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Principal investigators who plan to work with Non-</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institutions that are not engaged in the human subject research activity (not intervening or interacting with living individuals for research purposes and not obtaining individually identifiable private information for research purposes) must meet the following additional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requirements: </w:t>
      </w:r>
    </w:p>
    <w:p w14:paraId="056CB1E6" w14:textId="77777777" w:rsidR="00727BCF" w:rsidRPr="005A2746" w:rsidRDefault="00727BCF" w:rsidP="00727BCF">
      <w:pPr>
        <w:numPr>
          <w:ilvl w:val="0"/>
          <w:numId w:val="6"/>
        </w:numPr>
        <w:shd w:val="clear" w:color="auto" w:fill="FFFFFF"/>
        <w:spacing w:line="360" w:lineRule="atLeast"/>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Submit an application for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review and approval and include a description of the non-</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institution’s role in the human subjects research, adequacy of the facility to support the research and to ensure human subject safety in the case of an unanticipated emergency, responsibilities of their agents/employees, and oversight that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investigator will be providing in order to ensure adequate and ongoing protection of the human subjects. Only institutions that have agreed to participate should be identified in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submission.</w:t>
      </w:r>
      <w:r>
        <w:rPr>
          <w:rFonts w:ascii="Times New Roman" w:eastAsia="Times New Roman" w:hAnsi="Times New Roman" w:cs="Times New Roman"/>
          <w:color w:val="000000"/>
          <w:sz w:val="24"/>
          <w:szCs w:val="24"/>
          <w:lang w:val="en"/>
        </w:rPr>
        <w:t xml:space="preserve">  </w:t>
      </w:r>
    </w:p>
    <w:p w14:paraId="35F16573" w14:textId="77777777" w:rsidR="00727BCF" w:rsidRPr="001D3300" w:rsidRDefault="00727BCF" w:rsidP="00727BCF">
      <w:pPr>
        <w:numPr>
          <w:ilvl w:val="0"/>
          <w:numId w:val="6"/>
        </w:numPr>
        <w:shd w:val="clear" w:color="auto" w:fill="FFFFFF"/>
        <w:spacing w:line="360" w:lineRule="atLeast"/>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Obtain a written letter of permission from an authorized individual at the non-</w:t>
      </w:r>
      <w:r w:rsidRPr="001D3300">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institution that authorizes the PI to perf</w:t>
      </w:r>
      <w:r w:rsidRPr="001D3300">
        <w:rPr>
          <w:rFonts w:ascii="Times New Roman" w:eastAsia="Times New Roman" w:hAnsi="Times New Roman" w:cs="Times New Roman"/>
          <w:color w:val="000000"/>
          <w:sz w:val="24"/>
          <w:szCs w:val="24"/>
          <w:lang w:val="en"/>
        </w:rPr>
        <w:t>orm activities at that location.  This letter of approval is submitted with the DeSales IRB application.</w:t>
      </w:r>
    </w:p>
    <w:p w14:paraId="08CDBCA8" w14:textId="77777777" w:rsidR="00727BCF" w:rsidRDefault="00727BCF" w:rsidP="00727BCF">
      <w:pPr>
        <w:numPr>
          <w:ilvl w:val="0"/>
          <w:numId w:val="6"/>
        </w:numPr>
        <w:shd w:val="clear" w:color="auto" w:fill="FFFFFF"/>
        <w:spacing w:line="360" w:lineRule="atLeast"/>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Follow any additional requirements of the non-</w:t>
      </w:r>
      <w:r>
        <w:rPr>
          <w:rFonts w:ascii="Times New Roman" w:eastAsia="Times New Roman" w:hAnsi="Times New Roman" w:cs="Times New Roman"/>
          <w:color w:val="000000"/>
          <w:sz w:val="24"/>
          <w:szCs w:val="24"/>
          <w:lang w:val="en"/>
        </w:rPr>
        <w:t>DeSales institution.</w:t>
      </w:r>
    </w:p>
    <w:p w14:paraId="57CB1E45" w14:textId="77777777" w:rsidR="00727BCF" w:rsidRDefault="00727BCF" w:rsidP="00727BCF">
      <w:pPr>
        <w:shd w:val="clear" w:color="auto" w:fill="FFFFFF"/>
        <w:spacing w:line="360" w:lineRule="atLeast"/>
        <w:ind w:left="720"/>
        <w:rPr>
          <w:rFonts w:ascii="Times New Roman" w:eastAsia="Times New Roman" w:hAnsi="Times New Roman" w:cs="Times New Roman"/>
          <w:color w:val="000000"/>
          <w:sz w:val="24"/>
          <w:szCs w:val="24"/>
          <w:lang w:val="en"/>
        </w:rPr>
      </w:pPr>
    </w:p>
    <w:p w14:paraId="7692CF47" w14:textId="77777777" w:rsidR="00727BCF" w:rsidRDefault="00727BCF" w:rsidP="00727BCF">
      <w:pPr>
        <w:shd w:val="clear" w:color="auto" w:fill="FFFFFF"/>
        <w:spacing w:line="360" w:lineRule="atLeast"/>
        <w:rPr>
          <w:rFonts w:ascii="Times New Roman" w:eastAsia="Times New Roman" w:hAnsi="Times New Roman" w:cs="Times New Roman"/>
          <w:b/>
          <w:bCs/>
          <w:color w:val="000000"/>
          <w:sz w:val="24"/>
          <w:szCs w:val="24"/>
          <w:lang w:val="en"/>
        </w:rPr>
      </w:pPr>
    </w:p>
    <w:p w14:paraId="53DF4FEF" w14:textId="77777777" w:rsidR="00E26050" w:rsidRDefault="00E26050" w:rsidP="00727BCF">
      <w:pPr>
        <w:shd w:val="clear" w:color="auto" w:fill="FFFFFF"/>
        <w:spacing w:line="360" w:lineRule="atLeast"/>
        <w:rPr>
          <w:rFonts w:ascii="Times New Roman" w:eastAsia="Times New Roman" w:hAnsi="Times New Roman" w:cs="Times New Roman"/>
          <w:b/>
          <w:bCs/>
          <w:color w:val="000000"/>
          <w:sz w:val="24"/>
          <w:szCs w:val="24"/>
          <w:lang w:val="en"/>
        </w:rPr>
      </w:pPr>
    </w:p>
    <w:p w14:paraId="26552179" w14:textId="77777777" w:rsidR="00727BCF" w:rsidRDefault="00727BCF" w:rsidP="00727BCF">
      <w:pPr>
        <w:shd w:val="clear" w:color="auto" w:fill="FFFFFF"/>
        <w:spacing w:line="360" w:lineRule="atLeast"/>
        <w:rPr>
          <w:rFonts w:ascii="Times New Roman" w:eastAsia="Times New Roman" w:hAnsi="Times New Roman" w:cs="Times New Roman"/>
          <w:color w:val="000000"/>
          <w:sz w:val="24"/>
          <w:szCs w:val="24"/>
          <w:lang w:val="en"/>
        </w:rPr>
      </w:pPr>
      <w:r w:rsidRPr="001D3300">
        <w:rPr>
          <w:rFonts w:ascii="Times New Roman" w:eastAsia="Times New Roman" w:hAnsi="Times New Roman" w:cs="Times New Roman"/>
          <w:b/>
          <w:bCs/>
          <w:color w:val="000000"/>
          <w:sz w:val="24"/>
          <w:szCs w:val="24"/>
          <w:lang w:val="en"/>
        </w:rPr>
        <w:t>Non-DeSales Institutions ENGAGED - Submission Process:</w:t>
      </w:r>
      <w:r w:rsidRPr="005A2746">
        <w:rPr>
          <w:rFonts w:ascii="Times New Roman" w:eastAsia="Times New Roman" w:hAnsi="Times New Roman" w:cs="Times New Roman"/>
          <w:color w:val="000000"/>
          <w:sz w:val="24"/>
          <w:szCs w:val="24"/>
          <w:lang w:val="en"/>
        </w:rPr>
        <w:t xml:space="preserve"> </w:t>
      </w:r>
    </w:p>
    <w:p w14:paraId="2AF1E1B8" w14:textId="11D95F30" w:rsidR="00727BCF" w:rsidRDefault="00727BCF" w:rsidP="00727BCF">
      <w:pPr>
        <w:shd w:val="clear" w:color="auto" w:fill="FFFFFF"/>
        <w:spacing w:line="360" w:lineRule="atLeast"/>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Principal investigators who plan to work with Non-</w:t>
      </w:r>
      <w:r w:rsidRPr="001D3300">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institutions that are engaged in the human subject research activity must meet the following </w:t>
      </w:r>
      <w:r w:rsidR="004A4C4B">
        <w:rPr>
          <w:rFonts w:ascii="Times New Roman" w:eastAsia="Times New Roman" w:hAnsi="Times New Roman" w:cs="Times New Roman"/>
          <w:color w:val="000000"/>
          <w:sz w:val="24"/>
          <w:szCs w:val="24"/>
          <w:lang w:val="en"/>
        </w:rPr>
        <w:t>r</w:t>
      </w:r>
      <w:r w:rsidRPr="005A2746">
        <w:rPr>
          <w:rFonts w:ascii="Times New Roman" w:eastAsia="Times New Roman" w:hAnsi="Times New Roman" w:cs="Times New Roman"/>
          <w:color w:val="000000"/>
          <w:sz w:val="24"/>
          <w:szCs w:val="24"/>
          <w:lang w:val="en"/>
        </w:rPr>
        <w:t xml:space="preserve">equirements: </w:t>
      </w:r>
    </w:p>
    <w:p w14:paraId="1C6D239E" w14:textId="77777777" w:rsidR="00727BCF" w:rsidRDefault="00727BCF" w:rsidP="00E26050">
      <w:pPr>
        <w:numPr>
          <w:ilvl w:val="0"/>
          <w:numId w:val="24"/>
        </w:numPr>
        <w:shd w:val="clear" w:color="auto" w:fill="FFFFFF"/>
        <w:spacing w:line="360" w:lineRule="atLeast"/>
        <w:rPr>
          <w:rFonts w:ascii="Times New Roman" w:eastAsia="Times New Roman" w:hAnsi="Times New Roman" w:cs="Times New Roman"/>
          <w:color w:val="000000"/>
          <w:sz w:val="24"/>
          <w:szCs w:val="24"/>
          <w:lang w:val="en"/>
        </w:rPr>
      </w:pPr>
      <w:r w:rsidRPr="001A3D85">
        <w:rPr>
          <w:rFonts w:ascii="Times New Roman" w:eastAsia="Times New Roman" w:hAnsi="Times New Roman" w:cs="Times New Roman"/>
          <w:b/>
          <w:bCs/>
          <w:color w:val="000000"/>
          <w:sz w:val="24"/>
          <w:szCs w:val="24"/>
          <w:lang w:val="en"/>
        </w:rPr>
        <w:t>EXEMPT Research</w:t>
      </w:r>
      <w:r w:rsidRPr="005A2746">
        <w:rPr>
          <w:rFonts w:ascii="Times New Roman" w:eastAsia="Times New Roman" w:hAnsi="Times New Roman" w:cs="Times New Roman"/>
          <w:color w:val="000000"/>
          <w:sz w:val="24"/>
          <w:szCs w:val="24"/>
          <w:lang w:val="en"/>
        </w:rPr>
        <w:t xml:space="preserve"> </w:t>
      </w:r>
    </w:p>
    <w:p w14:paraId="21FC1AB9" w14:textId="77777777" w:rsidR="00727BCF" w:rsidRDefault="00727BCF" w:rsidP="00727BCF">
      <w:pPr>
        <w:pStyle w:val="ListParagraph"/>
        <w:numPr>
          <w:ilvl w:val="1"/>
          <w:numId w:val="7"/>
        </w:numPr>
        <w:shd w:val="clear" w:color="auto" w:fill="FFFFFF"/>
        <w:spacing w:line="360" w:lineRule="atLeast"/>
        <w:rPr>
          <w:rFonts w:ascii="Times New Roman" w:eastAsia="Times New Roman" w:hAnsi="Times New Roman" w:cs="Times New Roman"/>
          <w:color w:val="000000"/>
          <w:sz w:val="24"/>
          <w:szCs w:val="24"/>
          <w:lang w:val="en"/>
        </w:rPr>
      </w:pPr>
      <w:r w:rsidRPr="001D3300">
        <w:rPr>
          <w:rFonts w:ascii="Times New Roman" w:eastAsia="Times New Roman" w:hAnsi="Times New Roman" w:cs="Times New Roman"/>
          <w:color w:val="000000"/>
          <w:sz w:val="24"/>
          <w:szCs w:val="24"/>
          <w:lang w:val="en"/>
        </w:rPr>
        <w:t xml:space="preserve">Submit an application for </w:t>
      </w:r>
      <w:r>
        <w:rPr>
          <w:rFonts w:ascii="Times New Roman" w:eastAsia="Times New Roman" w:hAnsi="Times New Roman" w:cs="Times New Roman"/>
          <w:color w:val="000000"/>
          <w:sz w:val="24"/>
          <w:szCs w:val="24"/>
          <w:lang w:val="en"/>
        </w:rPr>
        <w:t>DeSales</w:t>
      </w:r>
      <w:r w:rsidRPr="001D3300">
        <w:rPr>
          <w:rFonts w:ascii="Times New Roman" w:eastAsia="Times New Roman" w:hAnsi="Times New Roman" w:cs="Times New Roman"/>
          <w:color w:val="000000"/>
          <w:sz w:val="24"/>
          <w:szCs w:val="24"/>
          <w:lang w:val="en"/>
        </w:rPr>
        <w:t xml:space="preserve"> IRB review and approval and </w:t>
      </w:r>
      <w:r>
        <w:rPr>
          <w:rFonts w:ascii="Times New Roman" w:eastAsia="Times New Roman" w:hAnsi="Times New Roman" w:cs="Times New Roman"/>
          <w:color w:val="000000"/>
          <w:sz w:val="24"/>
          <w:szCs w:val="24"/>
          <w:lang w:val="en"/>
        </w:rPr>
        <w:t xml:space="preserve">include </w:t>
      </w:r>
      <w:r w:rsidRPr="001D3300">
        <w:rPr>
          <w:rFonts w:ascii="Times New Roman" w:eastAsia="Times New Roman" w:hAnsi="Times New Roman" w:cs="Times New Roman"/>
          <w:color w:val="000000"/>
          <w:sz w:val="24"/>
          <w:szCs w:val="24"/>
          <w:lang w:val="en"/>
        </w:rPr>
        <w:t xml:space="preserve">a description of the </w:t>
      </w:r>
    </w:p>
    <w:p w14:paraId="5F99F921" w14:textId="77777777" w:rsidR="00727BCF" w:rsidRPr="004F4934" w:rsidRDefault="00727BCF" w:rsidP="00727BCF">
      <w:pPr>
        <w:pStyle w:val="ListParagraph"/>
        <w:shd w:val="clear" w:color="auto" w:fill="FFFFFF"/>
        <w:spacing w:line="360" w:lineRule="atLeast"/>
        <w:ind w:left="1440"/>
        <w:rPr>
          <w:rFonts w:ascii="Times New Roman" w:eastAsia="Times New Roman" w:hAnsi="Times New Roman" w:cs="Times New Roman"/>
          <w:color w:val="000000"/>
          <w:sz w:val="24"/>
          <w:szCs w:val="24"/>
          <w:lang w:val="en"/>
        </w:rPr>
      </w:pPr>
      <w:r w:rsidRPr="001D3300">
        <w:rPr>
          <w:rFonts w:ascii="Times New Roman" w:eastAsia="Times New Roman" w:hAnsi="Times New Roman" w:cs="Times New Roman"/>
          <w:color w:val="000000"/>
          <w:sz w:val="24"/>
          <w:szCs w:val="24"/>
          <w:lang w:val="en"/>
        </w:rPr>
        <w:t>non-</w:t>
      </w:r>
      <w:r>
        <w:rPr>
          <w:rFonts w:ascii="Times New Roman" w:eastAsia="Times New Roman" w:hAnsi="Times New Roman" w:cs="Times New Roman"/>
          <w:color w:val="000000"/>
          <w:sz w:val="24"/>
          <w:szCs w:val="24"/>
          <w:lang w:val="en"/>
        </w:rPr>
        <w:t>DeSales</w:t>
      </w:r>
      <w:r w:rsidRPr="001D3300">
        <w:rPr>
          <w:rFonts w:ascii="Times New Roman" w:eastAsia="Times New Roman" w:hAnsi="Times New Roman" w:cs="Times New Roman"/>
          <w:color w:val="000000"/>
          <w:sz w:val="24"/>
          <w:szCs w:val="24"/>
          <w:lang w:val="en"/>
        </w:rPr>
        <w:t xml:space="preserve"> institution’s role in the human subjects research, adequacy of the facility to support the research and to ensure human subject safety in the case of an unanticipated emergency, responsibilities of their agents/employees, and oversight that the </w:t>
      </w:r>
      <w:r>
        <w:rPr>
          <w:rFonts w:ascii="Times New Roman" w:eastAsia="Times New Roman" w:hAnsi="Times New Roman" w:cs="Times New Roman"/>
          <w:color w:val="000000"/>
          <w:sz w:val="24"/>
          <w:szCs w:val="24"/>
          <w:lang w:val="en"/>
        </w:rPr>
        <w:t>DeSales</w:t>
      </w:r>
      <w:r w:rsidRPr="001D3300">
        <w:rPr>
          <w:rFonts w:ascii="Times New Roman" w:eastAsia="Times New Roman" w:hAnsi="Times New Roman" w:cs="Times New Roman"/>
          <w:color w:val="000000"/>
          <w:sz w:val="24"/>
          <w:szCs w:val="24"/>
          <w:lang w:val="en"/>
        </w:rPr>
        <w:t xml:space="preserve"> investigator will be providing in order to ensure adequate and ongoing protection of the human subjects.</w:t>
      </w:r>
      <w:r w:rsidRPr="002A26EE">
        <w:rPr>
          <w:rFonts w:ascii="Times New Roman" w:eastAsia="Times New Roman" w:hAnsi="Times New Roman" w:cs="Times New Roman"/>
          <w:color w:val="000000"/>
          <w:sz w:val="24"/>
          <w:szCs w:val="24"/>
          <w:lang w:val="en"/>
        </w:rPr>
        <w:t xml:space="preserve"> </w:t>
      </w:r>
      <w:r w:rsidRPr="004F4934">
        <w:rPr>
          <w:rFonts w:ascii="Times New Roman" w:eastAsia="Times New Roman" w:hAnsi="Times New Roman" w:cs="Times New Roman"/>
          <w:color w:val="000000"/>
          <w:sz w:val="24"/>
          <w:szCs w:val="24"/>
          <w:lang w:val="en"/>
        </w:rPr>
        <w:t xml:space="preserve">Only institutions that have agreed to participate should be identified in the DeSales IRB submission.  </w:t>
      </w:r>
    </w:p>
    <w:p w14:paraId="30F76398" w14:textId="77777777" w:rsidR="00727BCF" w:rsidRPr="001D3300" w:rsidRDefault="00727BCF" w:rsidP="00727BCF">
      <w:pPr>
        <w:pStyle w:val="ListParagraph"/>
        <w:numPr>
          <w:ilvl w:val="1"/>
          <w:numId w:val="7"/>
        </w:numPr>
        <w:rPr>
          <w:rFonts w:ascii="Times New Roman" w:eastAsia="Times New Roman" w:hAnsi="Times New Roman" w:cs="Times New Roman"/>
          <w:color w:val="000000"/>
          <w:sz w:val="24"/>
          <w:szCs w:val="24"/>
          <w:lang w:val="en"/>
        </w:rPr>
      </w:pPr>
      <w:r w:rsidRPr="001D3300">
        <w:rPr>
          <w:rFonts w:ascii="Times New Roman" w:eastAsia="Times New Roman" w:hAnsi="Times New Roman" w:cs="Times New Roman"/>
          <w:color w:val="000000"/>
          <w:sz w:val="24"/>
          <w:szCs w:val="24"/>
          <w:lang w:val="en"/>
        </w:rPr>
        <w:t>Obtain a written letter of permission from an authorized individual at the non-</w:t>
      </w:r>
      <w:r>
        <w:rPr>
          <w:rFonts w:ascii="Times New Roman" w:eastAsia="Times New Roman" w:hAnsi="Times New Roman" w:cs="Times New Roman"/>
          <w:color w:val="000000"/>
          <w:sz w:val="24"/>
          <w:szCs w:val="24"/>
          <w:lang w:val="en"/>
        </w:rPr>
        <w:t>Desales</w:t>
      </w:r>
      <w:r w:rsidRPr="001D3300">
        <w:rPr>
          <w:rFonts w:ascii="Times New Roman" w:eastAsia="Times New Roman" w:hAnsi="Times New Roman" w:cs="Times New Roman"/>
          <w:color w:val="000000"/>
          <w:sz w:val="24"/>
          <w:szCs w:val="24"/>
          <w:lang w:val="en"/>
        </w:rPr>
        <w:t xml:space="preserve"> institution that authorizes the PI to perform activities at that location. This letter of approval is submitted with the DeSales IRB application.</w:t>
      </w:r>
    </w:p>
    <w:p w14:paraId="1DB49AAF" w14:textId="77777777" w:rsidR="00727BCF" w:rsidRDefault="00727BCF" w:rsidP="00727BCF">
      <w:pPr>
        <w:pStyle w:val="ListParagraph"/>
        <w:numPr>
          <w:ilvl w:val="1"/>
          <w:numId w:val="7"/>
        </w:numPr>
        <w:shd w:val="clear" w:color="auto" w:fill="FFFFFF"/>
        <w:spacing w:line="360" w:lineRule="atLeast"/>
        <w:rPr>
          <w:rFonts w:ascii="Times New Roman" w:eastAsia="Times New Roman" w:hAnsi="Times New Roman" w:cs="Times New Roman"/>
          <w:color w:val="000000"/>
          <w:sz w:val="24"/>
          <w:szCs w:val="24"/>
          <w:lang w:val="en"/>
        </w:rPr>
      </w:pPr>
      <w:r w:rsidRPr="00911B99">
        <w:rPr>
          <w:rFonts w:ascii="Times New Roman" w:eastAsia="Times New Roman" w:hAnsi="Times New Roman" w:cs="Times New Roman"/>
          <w:color w:val="000000"/>
          <w:sz w:val="24"/>
          <w:szCs w:val="24"/>
          <w:lang w:val="en"/>
        </w:rPr>
        <w:t xml:space="preserve"> Follow any additional requirements of the non-</w:t>
      </w:r>
      <w:r>
        <w:rPr>
          <w:rFonts w:ascii="Times New Roman" w:eastAsia="Times New Roman" w:hAnsi="Times New Roman" w:cs="Times New Roman"/>
          <w:color w:val="000000"/>
          <w:sz w:val="24"/>
          <w:szCs w:val="24"/>
          <w:lang w:val="en"/>
        </w:rPr>
        <w:t>DeSales</w:t>
      </w:r>
      <w:r w:rsidRPr="00911B99">
        <w:rPr>
          <w:rFonts w:ascii="Times New Roman" w:eastAsia="Times New Roman" w:hAnsi="Times New Roman" w:cs="Times New Roman"/>
          <w:color w:val="000000"/>
          <w:sz w:val="24"/>
          <w:szCs w:val="24"/>
          <w:lang w:val="en"/>
        </w:rPr>
        <w:t xml:space="preserve"> institution including additional IRB review if required.</w:t>
      </w:r>
    </w:p>
    <w:p w14:paraId="4EB47DD3" w14:textId="77777777" w:rsidR="00727BCF" w:rsidRPr="005A2746" w:rsidRDefault="00727BCF" w:rsidP="00E26050">
      <w:pPr>
        <w:numPr>
          <w:ilvl w:val="0"/>
          <w:numId w:val="24"/>
        </w:numPr>
        <w:shd w:val="clear" w:color="auto" w:fill="FFFFFF"/>
        <w:spacing w:line="360" w:lineRule="atLeast"/>
        <w:rPr>
          <w:rFonts w:ascii="Times New Roman" w:eastAsia="Times New Roman" w:hAnsi="Times New Roman" w:cs="Times New Roman"/>
          <w:color w:val="000000"/>
          <w:sz w:val="24"/>
          <w:szCs w:val="24"/>
          <w:lang w:val="en"/>
        </w:rPr>
      </w:pPr>
      <w:r w:rsidRPr="001A3D85">
        <w:rPr>
          <w:rFonts w:ascii="Times New Roman" w:eastAsia="Times New Roman" w:hAnsi="Times New Roman" w:cs="Times New Roman"/>
          <w:b/>
          <w:bCs/>
          <w:color w:val="000000"/>
          <w:sz w:val="24"/>
          <w:szCs w:val="24"/>
          <w:lang w:val="en"/>
        </w:rPr>
        <w:t>EXPEDITED and FULL BOARD Research</w:t>
      </w:r>
      <w:r w:rsidRPr="005A2746">
        <w:rPr>
          <w:rFonts w:ascii="Times New Roman" w:eastAsia="Times New Roman" w:hAnsi="Times New Roman" w:cs="Times New Roman"/>
          <w:color w:val="000000"/>
          <w:sz w:val="24"/>
          <w:szCs w:val="24"/>
          <w:lang w:val="en"/>
        </w:rPr>
        <w:t xml:space="preserve"> </w:t>
      </w:r>
    </w:p>
    <w:p w14:paraId="7D4BE2FD" w14:textId="77777777" w:rsidR="00727BCF" w:rsidRPr="004F4934" w:rsidRDefault="00727BCF" w:rsidP="00727BCF">
      <w:pPr>
        <w:pStyle w:val="ListParagraph"/>
        <w:numPr>
          <w:ilvl w:val="1"/>
          <w:numId w:val="8"/>
        </w:numPr>
        <w:shd w:val="clear" w:color="auto" w:fill="FFFFFF"/>
        <w:spacing w:line="360" w:lineRule="atLeast"/>
        <w:rPr>
          <w:rFonts w:ascii="Times New Roman" w:eastAsia="Times New Roman" w:hAnsi="Times New Roman" w:cs="Times New Roman"/>
          <w:color w:val="000000"/>
          <w:sz w:val="24"/>
          <w:szCs w:val="24"/>
          <w:lang w:val="en"/>
        </w:rPr>
      </w:pPr>
      <w:r w:rsidRPr="004F4934">
        <w:rPr>
          <w:rFonts w:ascii="Times New Roman" w:eastAsia="Times New Roman" w:hAnsi="Times New Roman" w:cs="Times New Roman"/>
          <w:color w:val="000000"/>
          <w:sz w:val="24"/>
          <w:szCs w:val="24"/>
          <w:lang w:val="en"/>
        </w:rPr>
        <w:t xml:space="preserve">Submit an application for DeSales IRB review and approval and include in a description of the non-DeSales institution’s role in the human subjects research, adequacy of the facility to support the research and to ensure human subject safety in the case of an unanticipated emergency, responsibilities of their agents/employees, and oversight that the DeSales investigator will be providing in order to ensure adequate and ongoing protection of the human subjects. Only institutions that have agreed to participate should be identified in the DeSales IRB submission.  </w:t>
      </w:r>
    </w:p>
    <w:p w14:paraId="634FEDDB" w14:textId="77777777" w:rsidR="00727BCF" w:rsidRPr="004F4934" w:rsidRDefault="00727BCF" w:rsidP="00727BCF">
      <w:pPr>
        <w:pStyle w:val="ListParagraph"/>
        <w:numPr>
          <w:ilvl w:val="1"/>
          <w:numId w:val="8"/>
        </w:numPr>
        <w:shd w:val="clear" w:color="auto" w:fill="FFFFFF"/>
        <w:spacing w:line="360" w:lineRule="atLeast"/>
        <w:rPr>
          <w:rFonts w:ascii="Times New Roman" w:eastAsia="Times New Roman" w:hAnsi="Times New Roman" w:cs="Times New Roman"/>
          <w:color w:val="000000"/>
          <w:sz w:val="24"/>
          <w:szCs w:val="24"/>
          <w:lang w:val="en"/>
        </w:rPr>
      </w:pPr>
      <w:r w:rsidRPr="004F4934">
        <w:rPr>
          <w:rFonts w:ascii="Times New Roman" w:eastAsia="Times New Roman" w:hAnsi="Times New Roman" w:cs="Times New Roman"/>
          <w:color w:val="000000"/>
          <w:sz w:val="24"/>
          <w:szCs w:val="24"/>
          <w:lang w:val="en"/>
        </w:rPr>
        <w:t>Obtain a written letter of permission from an authorized individual at the non-DeSales institution that authorizes the PI to perform activities at that location.  This letter of approval is submitted with the DeSales IRB application.</w:t>
      </w:r>
    </w:p>
    <w:p w14:paraId="0C64E4C5" w14:textId="77777777" w:rsidR="00727BCF" w:rsidRPr="004F4934" w:rsidRDefault="00727BCF" w:rsidP="00727BCF">
      <w:pPr>
        <w:pStyle w:val="ListParagraph"/>
        <w:numPr>
          <w:ilvl w:val="1"/>
          <w:numId w:val="8"/>
        </w:numPr>
        <w:shd w:val="clear" w:color="auto" w:fill="FFFFFF"/>
        <w:spacing w:line="360" w:lineRule="atLeast"/>
        <w:rPr>
          <w:rFonts w:ascii="Times New Roman" w:eastAsia="Times New Roman" w:hAnsi="Times New Roman" w:cs="Times New Roman"/>
          <w:color w:val="000000"/>
          <w:sz w:val="24"/>
          <w:szCs w:val="24"/>
          <w:lang w:val="en"/>
        </w:rPr>
      </w:pPr>
      <w:r w:rsidRPr="004F4934">
        <w:rPr>
          <w:rFonts w:ascii="Times New Roman" w:eastAsia="Times New Roman" w:hAnsi="Times New Roman" w:cs="Times New Roman"/>
          <w:color w:val="000000"/>
          <w:sz w:val="24"/>
          <w:szCs w:val="24"/>
          <w:lang w:val="en"/>
        </w:rPr>
        <w:t>Follow any additional requirements of the non-</w:t>
      </w:r>
      <w:r>
        <w:rPr>
          <w:rFonts w:ascii="Times New Roman" w:eastAsia="Times New Roman" w:hAnsi="Times New Roman" w:cs="Times New Roman"/>
          <w:color w:val="000000"/>
          <w:sz w:val="24"/>
          <w:szCs w:val="24"/>
          <w:lang w:val="en"/>
        </w:rPr>
        <w:t>DeSales</w:t>
      </w:r>
      <w:r w:rsidRPr="004F4934">
        <w:rPr>
          <w:rFonts w:ascii="Times New Roman" w:eastAsia="Times New Roman" w:hAnsi="Times New Roman" w:cs="Times New Roman"/>
          <w:color w:val="000000"/>
          <w:sz w:val="24"/>
          <w:szCs w:val="24"/>
          <w:lang w:val="en"/>
        </w:rPr>
        <w:t xml:space="preserve"> institution including additional IRB review if required.</w:t>
      </w:r>
    </w:p>
    <w:p w14:paraId="15A916DC" w14:textId="77777777" w:rsidR="00727BCF" w:rsidRPr="004F4934" w:rsidRDefault="00727BCF" w:rsidP="00727BCF">
      <w:pPr>
        <w:pStyle w:val="ListParagraph"/>
        <w:numPr>
          <w:ilvl w:val="1"/>
          <w:numId w:val="8"/>
        </w:numPr>
        <w:shd w:val="clear" w:color="auto" w:fill="FFFFFF"/>
        <w:spacing w:line="360" w:lineRule="atLeast"/>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DeSales</w:t>
      </w:r>
      <w:r w:rsidRPr="004F4934">
        <w:rPr>
          <w:rFonts w:ascii="Times New Roman" w:eastAsia="Times New Roman" w:hAnsi="Times New Roman" w:cs="Times New Roman"/>
          <w:color w:val="000000"/>
          <w:sz w:val="24"/>
          <w:szCs w:val="24"/>
          <w:lang w:val="en"/>
        </w:rPr>
        <w:t xml:space="preserve"> strongly recommends that a single consent document be given to the research subject, whenever possible. In the case of more than one IRB reviewing the research, every effort should be made to develop a single consent document that explains the involvement of each institution and represents the decisions of each IRB involved. The consent form must name the </w:t>
      </w:r>
      <w:r>
        <w:rPr>
          <w:rFonts w:ascii="Times New Roman" w:eastAsia="Times New Roman" w:hAnsi="Times New Roman" w:cs="Times New Roman"/>
          <w:color w:val="000000"/>
          <w:sz w:val="24"/>
          <w:szCs w:val="24"/>
          <w:lang w:val="en"/>
        </w:rPr>
        <w:t>DeSales</w:t>
      </w:r>
      <w:r w:rsidRPr="004F4934">
        <w:rPr>
          <w:rFonts w:ascii="Times New Roman" w:eastAsia="Times New Roman" w:hAnsi="Times New Roman" w:cs="Times New Roman"/>
          <w:color w:val="000000"/>
          <w:sz w:val="24"/>
          <w:szCs w:val="24"/>
          <w:lang w:val="en"/>
        </w:rPr>
        <w:t xml:space="preserve"> PI.</w:t>
      </w:r>
    </w:p>
    <w:p w14:paraId="0D86B6C4" w14:textId="77777777" w:rsidR="00E26050" w:rsidRDefault="00E26050" w:rsidP="004A4C4B">
      <w:pPr>
        <w:pStyle w:val="ListParagraph"/>
        <w:shd w:val="clear" w:color="auto" w:fill="FFFFFF"/>
        <w:spacing w:line="360" w:lineRule="atLeast"/>
        <w:rPr>
          <w:rFonts w:ascii="Times New Roman" w:eastAsia="Times New Roman" w:hAnsi="Times New Roman" w:cs="Times New Roman"/>
          <w:b/>
          <w:bCs/>
          <w:color w:val="000000"/>
          <w:sz w:val="24"/>
          <w:szCs w:val="24"/>
          <w:highlight w:val="yellow"/>
          <w:lang w:val="en"/>
        </w:rPr>
      </w:pPr>
    </w:p>
    <w:p w14:paraId="066E1931" w14:textId="198456D1" w:rsidR="00727BCF" w:rsidRPr="002A4D44" w:rsidRDefault="00727BCF" w:rsidP="00E26050">
      <w:pPr>
        <w:pStyle w:val="ListParagraph"/>
        <w:numPr>
          <w:ilvl w:val="0"/>
          <w:numId w:val="24"/>
        </w:numPr>
        <w:shd w:val="clear" w:color="auto" w:fill="FFFFFF"/>
        <w:spacing w:line="360" w:lineRule="atLeast"/>
        <w:rPr>
          <w:rFonts w:ascii="Times New Roman" w:eastAsia="Times New Roman" w:hAnsi="Times New Roman" w:cs="Times New Roman"/>
          <w:color w:val="000000"/>
          <w:sz w:val="24"/>
          <w:szCs w:val="24"/>
          <w:lang w:val="en"/>
        </w:rPr>
      </w:pPr>
      <w:r w:rsidRPr="002A4D44">
        <w:rPr>
          <w:rFonts w:ascii="Times New Roman" w:eastAsia="Times New Roman" w:hAnsi="Times New Roman" w:cs="Times New Roman"/>
          <w:b/>
          <w:bCs/>
          <w:color w:val="000000"/>
          <w:sz w:val="24"/>
          <w:szCs w:val="24"/>
          <w:lang w:val="en"/>
        </w:rPr>
        <w:t>ADDITIONAL REQUIREMENTS - IRB Reliance Arrangements (IRB Deferral)</w:t>
      </w:r>
      <w:r w:rsidRPr="002A4D44">
        <w:rPr>
          <w:rFonts w:ascii="Times New Roman" w:eastAsia="Times New Roman" w:hAnsi="Times New Roman" w:cs="Times New Roman"/>
          <w:color w:val="000000"/>
          <w:sz w:val="24"/>
          <w:szCs w:val="24"/>
          <w:lang w:val="en"/>
        </w:rPr>
        <w:t xml:space="preserve"> </w:t>
      </w:r>
    </w:p>
    <w:p w14:paraId="48C91F61" w14:textId="61A5A025" w:rsidR="00727BCF" w:rsidRPr="000D563E" w:rsidRDefault="00727BCF" w:rsidP="00727BCF">
      <w:pPr>
        <w:shd w:val="clear" w:color="auto" w:fill="FFFFFF"/>
        <w:spacing w:line="360" w:lineRule="atLeast"/>
        <w:ind w:left="720"/>
        <w:rPr>
          <w:rFonts w:ascii="Times New Roman" w:eastAsia="Times New Roman" w:hAnsi="Times New Roman" w:cs="Times New Roman"/>
          <w:i/>
          <w:color w:val="000000"/>
          <w:sz w:val="24"/>
          <w:szCs w:val="24"/>
          <w:u w:val="single"/>
          <w:lang w:val="en"/>
        </w:rPr>
      </w:pPr>
      <w:r w:rsidRPr="002A4D44">
        <w:rPr>
          <w:rFonts w:ascii="Times New Roman" w:eastAsia="Times New Roman" w:hAnsi="Times New Roman" w:cs="Times New Roman"/>
          <w:color w:val="000000"/>
          <w:sz w:val="24"/>
          <w:szCs w:val="24"/>
          <w:lang w:val="en"/>
        </w:rPr>
        <w:t xml:space="preserve">In some cases, it may be duplicative or it may not be practical for both DeSales and the non-DeSales organization to obtain separate IRB approval. </w:t>
      </w:r>
      <w:r w:rsidR="004A4C4B" w:rsidRPr="002A4D44">
        <w:rPr>
          <w:rFonts w:ascii="Times New Roman" w:eastAsia="Times New Roman" w:hAnsi="Times New Roman" w:cs="Times New Roman"/>
          <w:color w:val="000000"/>
          <w:sz w:val="24"/>
          <w:szCs w:val="24"/>
          <w:lang w:val="en"/>
        </w:rPr>
        <w:t xml:space="preserve"> </w:t>
      </w:r>
      <w:r w:rsidRPr="002A4D44">
        <w:rPr>
          <w:rFonts w:ascii="Times New Roman" w:eastAsia="Times New Roman" w:hAnsi="Times New Roman" w:cs="Times New Roman"/>
          <w:color w:val="000000"/>
          <w:sz w:val="24"/>
          <w:szCs w:val="24"/>
          <w:lang w:val="en"/>
        </w:rPr>
        <w:t>In this situation, either entity may decide to rely on the IRB review of the other</w:t>
      </w:r>
      <w:r w:rsidR="004A4C4B" w:rsidRPr="002A4D44">
        <w:rPr>
          <w:rFonts w:ascii="Times New Roman" w:eastAsia="Times New Roman" w:hAnsi="Times New Roman" w:cs="Times New Roman"/>
          <w:color w:val="000000"/>
          <w:sz w:val="24"/>
          <w:szCs w:val="24"/>
          <w:lang w:val="en"/>
        </w:rPr>
        <w:t xml:space="preserve">.  </w:t>
      </w:r>
      <w:r w:rsidR="000D563E" w:rsidRPr="002A4D44">
        <w:rPr>
          <w:rFonts w:ascii="Times New Roman" w:eastAsia="Times New Roman" w:hAnsi="Times New Roman" w:cs="Times New Roman"/>
          <w:i/>
          <w:color w:val="000000"/>
          <w:sz w:val="24"/>
          <w:szCs w:val="24"/>
          <w:u w:val="single"/>
          <w:lang w:val="en"/>
        </w:rPr>
        <w:t>If you are requesting one of the below options, p</w:t>
      </w:r>
      <w:r w:rsidR="004A4C4B" w:rsidRPr="002A4D44">
        <w:rPr>
          <w:rFonts w:ascii="Times New Roman" w:eastAsia="Times New Roman" w:hAnsi="Times New Roman" w:cs="Times New Roman"/>
          <w:i/>
          <w:color w:val="000000"/>
          <w:sz w:val="24"/>
          <w:szCs w:val="24"/>
          <w:u w:val="single"/>
          <w:lang w:val="en"/>
        </w:rPr>
        <w:t>lease follow the additional requirements described below</w:t>
      </w:r>
      <w:r w:rsidR="00E26050" w:rsidRPr="002A4D44">
        <w:rPr>
          <w:rFonts w:ascii="Times New Roman" w:eastAsia="Times New Roman" w:hAnsi="Times New Roman" w:cs="Times New Roman"/>
          <w:i/>
          <w:color w:val="000000"/>
          <w:sz w:val="24"/>
          <w:szCs w:val="24"/>
          <w:u w:val="single"/>
          <w:lang w:val="en"/>
        </w:rPr>
        <w:t xml:space="preserve"> for engaged non-DeSales institutions</w:t>
      </w:r>
      <w:r w:rsidRPr="002A4D44">
        <w:rPr>
          <w:rFonts w:ascii="Times New Roman" w:eastAsia="Times New Roman" w:hAnsi="Times New Roman" w:cs="Times New Roman"/>
          <w:i/>
          <w:color w:val="000000"/>
          <w:sz w:val="24"/>
          <w:szCs w:val="24"/>
          <w:u w:val="single"/>
          <w:lang w:val="en"/>
        </w:rPr>
        <w:t>:</w:t>
      </w:r>
    </w:p>
    <w:p w14:paraId="43EB1A79" w14:textId="77777777" w:rsidR="00E26050" w:rsidRPr="000D563E" w:rsidRDefault="00E26050" w:rsidP="00727BCF">
      <w:pPr>
        <w:shd w:val="clear" w:color="auto" w:fill="FFFFFF"/>
        <w:spacing w:line="360" w:lineRule="atLeast"/>
        <w:ind w:left="720"/>
        <w:rPr>
          <w:rFonts w:ascii="Times New Roman" w:eastAsia="Times New Roman" w:hAnsi="Times New Roman" w:cs="Times New Roman"/>
          <w:i/>
          <w:color w:val="000000"/>
          <w:sz w:val="24"/>
          <w:szCs w:val="24"/>
          <w:u w:val="single"/>
          <w:lang w:val="en"/>
        </w:rPr>
      </w:pPr>
    </w:p>
    <w:p w14:paraId="0716CEE9" w14:textId="77777777" w:rsidR="00E26050" w:rsidRDefault="00E26050" w:rsidP="00727BCF">
      <w:pPr>
        <w:shd w:val="clear" w:color="auto" w:fill="FFFFFF"/>
        <w:spacing w:line="360" w:lineRule="atLeast"/>
        <w:ind w:left="720"/>
        <w:rPr>
          <w:rFonts w:ascii="Times New Roman" w:eastAsia="Times New Roman" w:hAnsi="Times New Roman" w:cs="Times New Roman"/>
          <w:color w:val="000000"/>
          <w:sz w:val="24"/>
          <w:szCs w:val="24"/>
          <w:u w:val="single"/>
          <w:lang w:val="en"/>
        </w:rPr>
      </w:pPr>
    </w:p>
    <w:p w14:paraId="1E78B378" w14:textId="77777777" w:rsidR="00E26050" w:rsidRDefault="00E26050" w:rsidP="00727BCF">
      <w:pPr>
        <w:shd w:val="clear" w:color="auto" w:fill="FFFFFF"/>
        <w:spacing w:line="360" w:lineRule="atLeast"/>
        <w:ind w:left="720"/>
        <w:rPr>
          <w:rFonts w:ascii="Times New Roman" w:eastAsia="Times New Roman" w:hAnsi="Times New Roman" w:cs="Times New Roman"/>
          <w:color w:val="000000"/>
          <w:sz w:val="24"/>
          <w:szCs w:val="24"/>
          <w:u w:val="single"/>
          <w:lang w:val="en"/>
        </w:rPr>
      </w:pPr>
    </w:p>
    <w:p w14:paraId="66C59704" w14:textId="77777777" w:rsidR="00727BCF" w:rsidRDefault="00727BCF" w:rsidP="00727BCF">
      <w:pPr>
        <w:shd w:val="clear" w:color="auto" w:fill="FFFFFF"/>
        <w:spacing w:line="360" w:lineRule="atLeast"/>
        <w:ind w:left="72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u w:val="single"/>
          <w:lang w:val="en"/>
        </w:rPr>
        <w:t xml:space="preserve">Requests for the </w:t>
      </w:r>
      <w:r>
        <w:rPr>
          <w:rFonts w:ascii="Times New Roman" w:eastAsia="Times New Roman" w:hAnsi="Times New Roman" w:cs="Times New Roman"/>
          <w:color w:val="000000"/>
          <w:sz w:val="24"/>
          <w:szCs w:val="24"/>
          <w:u w:val="single"/>
          <w:lang w:val="en"/>
        </w:rPr>
        <w:t>DeSales</w:t>
      </w:r>
      <w:r w:rsidRPr="005A2746">
        <w:rPr>
          <w:rFonts w:ascii="Times New Roman" w:eastAsia="Times New Roman" w:hAnsi="Times New Roman" w:cs="Times New Roman"/>
          <w:color w:val="000000"/>
          <w:sz w:val="24"/>
          <w:szCs w:val="24"/>
          <w:u w:val="single"/>
          <w:lang w:val="en"/>
        </w:rPr>
        <w:t xml:space="preserve"> IRB to review on behalf of a Non-</w:t>
      </w:r>
      <w:r>
        <w:rPr>
          <w:rFonts w:ascii="Times New Roman" w:eastAsia="Times New Roman" w:hAnsi="Times New Roman" w:cs="Times New Roman"/>
          <w:color w:val="000000"/>
          <w:sz w:val="24"/>
          <w:szCs w:val="24"/>
          <w:u w:val="single"/>
          <w:lang w:val="en"/>
        </w:rPr>
        <w:t>DeSales</w:t>
      </w:r>
      <w:r w:rsidRPr="005A2746">
        <w:rPr>
          <w:rFonts w:ascii="Times New Roman" w:eastAsia="Times New Roman" w:hAnsi="Times New Roman" w:cs="Times New Roman"/>
          <w:color w:val="000000"/>
          <w:sz w:val="24"/>
          <w:szCs w:val="24"/>
          <w:u w:val="single"/>
          <w:lang w:val="en"/>
        </w:rPr>
        <w:t xml:space="preserve"> Institution:</w:t>
      </w:r>
      <w:r w:rsidRPr="005A2746">
        <w:rPr>
          <w:rFonts w:ascii="Times New Roman" w:eastAsia="Times New Roman" w:hAnsi="Times New Roman" w:cs="Times New Roman"/>
          <w:color w:val="000000"/>
          <w:sz w:val="24"/>
          <w:szCs w:val="24"/>
          <w:lang w:val="en"/>
        </w:rPr>
        <w:t xml:space="preserve"> </w:t>
      </w:r>
    </w:p>
    <w:p w14:paraId="453F58EF" w14:textId="77777777" w:rsidR="00727BCF" w:rsidRPr="005A2746" w:rsidRDefault="00727BCF" w:rsidP="00727BCF">
      <w:pPr>
        <w:shd w:val="clear" w:color="auto" w:fill="FFFFFF"/>
        <w:spacing w:line="360" w:lineRule="atLeast"/>
        <w:ind w:left="72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When the non-</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organization wishes to rely on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this should be indicated in the IRB submission. The IRB will consider the request. If accepted, the </w:t>
      </w:r>
      <w:r>
        <w:rPr>
          <w:rFonts w:ascii="Times New Roman" w:eastAsia="Times New Roman" w:hAnsi="Times New Roman" w:cs="Times New Roman"/>
          <w:color w:val="000000"/>
          <w:sz w:val="24"/>
          <w:szCs w:val="24"/>
          <w:lang w:val="en"/>
        </w:rPr>
        <w:t>IRB Committee</w:t>
      </w:r>
      <w:r w:rsidRPr="005A2746">
        <w:rPr>
          <w:rFonts w:ascii="Times New Roman" w:eastAsia="Times New Roman" w:hAnsi="Times New Roman" w:cs="Times New Roman"/>
          <w:color w:val="000000"/>
          <w:sz w:val="24"/>
          <w:szCs w:val="24"/>
          <w:lang w:val="en"/>
        </w:rPr>
        <w:t xml:space="preserve"> will work with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investigator to establish the appropriate signed agreements.</w:t>
      </w:r>
      <w:r>
        <w:rPr>
          <w:rFonts w:ascii="Times New Roman" w:eastAsia="Times New Roman" w:hAnsi="Times New Roman" w:cs="Times New Roman"/>
          <w:color w:val="000000"/>
          <w:sz w:val="24"/>
          <w:szCs w:val="24"/>
          <w:lang w:val="en"/>
        </w:rPr>
        <w:t xml:space="preserve"> </w:t>
      </w:r>
    </w:p>
    <w:p w14:paraId="2A43928E" w14:textId="77777777" w:rsidR="00727BCF" w:rsidRPr="005A2746" w:rsidRDefault="00727BCF" w:rsidP="00727BCF">
      <w:pPr>
        <w:shd w:val="clear" w:color="auto" w:fill="FFFFFF"/>
        <w:spacing w:line="360" w:lineRule="atLeast"/>
        <w:ind w:left="72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To facilitate an efficient reliance decision,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investigator should address all of the following when completing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w:t>
      </w:r>
      <w:r>
        <w:rPr>
          <w:rFonts w:ascii="Times New Roman" w:eastAsia="Times New Roman" w:hAnsi="Times New Roman" w:cs="Times New Roman"/>
          <w:color w:val="000000"/>
          <w:sz w:val="24"/>
          <w:szCs w:val="24"/>
          <w:lang w:val="en"/>
        </w:rPr>
        <w:t>application submission</w:t>
      </w:r>
      <w:r w:rsidRPr="005A2746">
        <w:rPr>
          <w:rFonts w:ascii="Times New Roman" w:eastAsia="Times New Roman" w:hAnsi="Times New Roman" w:cs="Times New Roman"/>
          <w:color w:val="000000"/>
          <w:sz w:val="24"/>
          <w:szCs w:val="24"/>
          <w:lang w:val="en"/>
        </w:rPr>
        <w:t>:</w:t>
      </w:r>
    </w:p>
    <w:p w14:paraId="05B9D7DD" w14:textId="77777777" w:rsidR="00727BCF" w:rsidRPr="005A2746" w:rsidRDefault="00727BCF" w:rsidP="00E26050">
      <w:pPr>
        <w:numPr>
          <w:ilvl w:val="2"/>
          <w:numId w:val="24"/>
        </w:numPr>
        <w:shd w:val="clear" w:color="auto" w:fill="FFFFFF"/>
        <w:spacing w:line="360" w:lineRule="atLeast"/>
        <w:ind w:left="144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Describe your understanding of the local research context of the non-</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organization or how the knowledge will be obtained (i.e., use of consultants).</w:t>
      </w:r>
    </w:p>
    <w:p w14:paraId="459ADD7A" w14:textId="2E670DD7" w:rsidR="00727BCF" w:rsidRPr="005A2746" w:rsidRDefault="00727BCF" w:rsidP="00E26050">
      <w:pPr>
        <w:numPr>
          <w:ilvl w:val="2"/>
          <w:numId w:val="24"/>
        </w:numPr>
        <w:shd w:val="clear" w:color="auto" w:fill="FFFFFF"/>
        <w:spacing w:line="360" w:lineRule="atLeast"/>
        <w:ind w:left="144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Does the non-</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Institution have a </w:t>
      </w:r>
      <w:proofErr w:type="spellStart"/>
      <w:r w:rsidRPr="005A2746">
        <w:rPr>
          <w:rFonts w:ascii="Times New Roman" w:eastAsia="Times New Roman" w:hAnsi="Times New Roman" w:cs="Times New Roman"/>
          <w:color w:val="000000"/>
          <w:sz w:val="24"/>
          <w:szCs w:val="24"/>
          <w:lang w:val="en"/>
        </w:rPr>
        <w:t>F</w:t>
      </w:r>
      <w:r>
        <w:rPr>
          <w:rFonts w:ascii="Times New Roman" w:eastAsia="Times New Roman" w:hAnsi="Times New Roman" w:cs="Times New Roman"/>
          <w:color w:val="000000"/>
          <w:sz w:val="24"/>
          <w:szCs w:val="24"/>
          <w:lang w:val="en"/>
        </w:rPr>
        <w:t>ederalwide</w:t>
      </w:r>
      <w:proofErr w:type="spellEnd"/>
      <w:r>
        <w:rPr>
          <w:rFonts w:ascii="Times New Roman" w:eastAsia="Times New Roman" w:hAnsi="Times New Roman" w:cs="Times New Roman"/>
          <w:color w:val="000000"/>
          <w:sz w:val="24"/>
          <w:szCs w:val="24"/>
          <w:lang w:val="en"/>
        </w:rPr>
        <w:t xml:space="preserve"> Assurance (F</w:t>
      </w:r>
      <w:r w:rsidRPr="005A2746">
        <w:rPr>
          <w:rFonts w:ascii="Times New Roman" w:eastAsia="Times New Roman" w:hAnsi="Times New Roman" w:cs="Times New Roman"/>
          <w:color w:val="000000"/>
          <w:sz w:val="24"/>
          <w:szCs w:val="24"/>
          <w:lang w:val="en"/>
        </w:rPr>
        <w:t>WA</w:t>
      </w:r>
      <w:r>
        <w:rPr>
          <w:rFonts w:ascii="Times New Roman" w:eastAsia="Times New Roman" w:hAnsi="Times New Roman" w:cs="Times New Roman"/>
          <w:color w:val="000000"/>
          <w:sz w:val="24"/>
          <w:szCs w:val="24"/>
          <w:lang w:val="en"/>
        </w:rPr>
        <w:t>)</w:t>
      </w:r>
      <w:r w:rsidRPr="005A2746">
        <w:rPr>
          <w:rFonts w:ascii="Times New Roman" w:eastAsia="Times New Roman" w:hAnsi="Times New Roman" w:cs="Times New Roman"/>
          <w:color w:val="000000"/>
          <w:sz w:val="24"/>
          <w:szCs w:val="24"/>
          <w:lang w:val="en"/>
        </w:rPr>
        <w:t>? If yes, provide the FWA Number and effective dates.</w:t>
      </w:r>
      <w:r>
        <w:rPr>
          <w:rFonts w:ascii="Times New Roman" w:eastAsia="Times New Roman" w:hAnsi="Times New Roman" w:cs="Times New Roman"/>
          <w:color w:val="000000"/>
          <w:sz w:val="24"/>
          <w:szCs w:val="24"/>
          <w:lang w:val="en"/>
        </w:rPr>
        <w:t xml:space="preserve">  </w:t>
      </w:r>
    </w:p>
    <w:p w14:paraId="71A50748" w14:textId="77777777" w:rsidR="00727BCF" w:rsidRPr="005A2746" w:rsidRDefault="00727BCF" w:rsidP="00E26050">
      <w:pPr>
        <w:numPr>
          <w:ilvl w:val="2"/>
          <w:numId w:val="24"/>
        </w:numPr>
        <w:shd w:val="clear" w:color="auto" w:fill="FFFFFF"/>
        <w:spacing w:line="360" w:lineRule="atLeast"/>
        <w:ind w:left="144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If the research is ongoing at another institution (such as in the case of a multi-center study) provide a report on research results to date and </w:t>
      </w:r>
      <w:r>
        <w:rPr>
          <w:rFonts w:ascii="Times New Roman" w:eastAsia="Times New Roman" w:hAnsi="Times New Roman" w:cs="Times New Roman"/>
          <w:color w:val="000000"/>
          <w:sz w:val="24"/>
          <w:szCs w:val="24"/>
          <w:lang w:val="en"/>
        </w:rPr>
        <w:t xml:space="preserve">a </w:t>
      </w:r>
      <w:r w:rsidRPr="005A2746">
        <w:rPr>
          <w:rFonts w:ascii="Times New Roman" w:eastAsia="Times New Roman" w:hAnsi="Times New Roman" w:cs="Times New Roman"/>
          <w:color w:val="000000"/>
          <w:sz w:val="24"/>
          <w:szCs w:val="24"/>
          <w:lang w:val="en"/>
        </w:rPr>
        <w:t>summary of all unanticipated problems and/or serious adverse events and other reportable adverse events.</w:t>
      </w:r>
    </w:p>
    <w:p w14:paraId="63154A0B" w14:textId="77777777" w:rsidR="00727BCF" w:rsidRPr="005A2746" w:rsidRDefault="00727BCF" w:rsidP="00E26050">
      <w:pPr>
        <w:numPr>
          <w:ilvl w:val="2"/>
          <w:numId w:val="24"/>
        </w:numPr>
        <w:shd w:val="clear" w:color="auto" w:fill="FFFFFF"/>
        <w:spacing w:line="360" w:lineRule="atLeast"/>
        <w:ind w:left="144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If a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researcher is the lead researcher of a multi-site study, applications should include information about the management of information that is relevant to the protection of human subjects, such as interim results and protocol modifications.</w:t>
      </w:r>
    </w:p>
    <w:p w14:paraId="42C66F9F" w14:textId="77777777" w:rsidR="00727BCF" w:rsidRDefault="00727BCF" w:rsidP="00727BCF">
      <w:pPr>
        <w:shd w:val="clear" w:color="auto" w:fill="FFFFFF"/>
        <w:spacing w:line="360" w:lineRule="atLeast"/>
        <w:ind w:left="108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will review the material and make a recommendation to </w:t>
      </w:r>
      <w:r>
        <w:rPr>
          <w:rFonts w:ascii="Times New Roman" w:eastAsia="Times New Roman" w:hAnsi="Times New Roman" w:cs="Times New Roman"/>
          <w:color w:val="000000"/>
          <w:sz w:val="24"/>
          <w:szCs w:val="24"/>
          <w:lang w:val="en"/>
        </w:rPr>
        <w:t>the DeSales</w:t>
      </w:r>
      <w:r w:rsidRPr="005A2746">
        <w:rPr>
          <w:rFonts w:ascii="Times New Roman" w:eastAsia="Times New Roman" w:hAnsi="Times New Roman" w:cs="Times New Roman"/>
          <w:color w:val="000000"/>
          <w:sz w:val="24"/>
          <w:szCs w:val="24"/>
          <w:lang w:val="en"/>
        </w:rPr>
        <w:t xml:space="preserve"> Signatory Official (or designee) regarding approval.</w:t>
      </w:r>
      <w:r>
        <w:rPr>
          <w:rFonts w:ascii="Times New Roman" w:eastAsia="Times New Roman" w:hAnsi="Times New Roman" w:cs="Times New Roman"/>
          <w:color w:val="000000"/>
          <w:sz w:val="24"/>
          <w:szCs w:val="24"/>
          <w:lang w:val="en"/>
        </w:rPr>
        <w:t xml:space="preserve">  </w:t>
      </w:r>
    </w:p>
    <w:p w14:paraId="51B5089E" w14:textId="77777777" w:rsidR="00727BCF" w:rsidRPr="005A2746" w:rsidRDefault="00727BCF" w:rsidP="00727BCF">
      <w:pPr>
        <w:shd w:val="clear" w:color="auto" w:fill="FFFFFF"/>
        <w:spacing w:line="360" w:lineRule="atLeast"/>
        <w:ind w:left="1080"/>
        <w:rPr>
          <w:rFonts w:ascii="Times New Roman" w:eastAsia="Times New Roman" w:hAnsi="Times New Roman" w:cs="Times New Roman"/>
          <w:color w:val="000000"/>
          <w:sz w:val="24"/>
          <w:szCs w:val="24"/>
          <w:lang w:val="en"/>
        </w:rPr>
      </w:pPr>
    </w:p>
    <w:p w14:paraId="291877C8" w14:textId="77777777" w:rsidR="00727BCF" w:rsidRPr="005A2746" w:rsidRDefault="00727BCF" w:rsidP="00727BCF">
      <w:pPr>
        <w:shd w:val="clear" w:color="auto" w:fill="FFFFFF"/>
        <w:spacing w:line="360" w:lineRule="atLeast"/>
        <w:ind w:left="72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u w:val="single"/>
          <w:lang w:val="en"/>
        </w:rPr>
        <w:t xml:space="preserve">Requests for </w:t>
      </w:r>
      <w:r>
        <w:rPr>
          <w:rFonts w:ascii="Times New Roman" w:eastAsia="Times New Roman" w:hAnsi="Times New Roman" w:cs="Times New Roman"/>
          <w:color w:val="000000"/>
          <w:sz w:val="24"/>
          <w:szCs w:val="24"/>
          <w:u w:val="single"/>
          <w:lang w:val="en"/>
        </w:rPr>
        <w:t>DeSales</w:t>
      </w:r>
      <w:r w:rsidRPr="005A2746">
        <w:rPr>
          <w:rFonts w:ascii="Times New Roman" w:eastAsia="Times New Roman" w:hAnsi="Times New Roman" w:cs="Times New Roman"/>
          <w:color w:val="000000"/>
          <w:sz w:val="24"/>
          <w:szCs w:val="24"/>
          <w:u w:val="single"/>
          <w:lang w:val="en"/>
        </w:rPr>
        <w:t xml:space="preserve"> to rely on the IRB of a non-</w:t>
      </w:r>
      <w:r>
        <w:rPr>
          <w:rFonts w:ascii="Times New Roman" w:eastAsia="Times New Roman" w:hAnsi="Times New Roman" w:cs="Times New Roman"/>
          <w:color w:val="000000"/>
          <w:sz w:val="24"/>
          <w:szCs w:val="24"/>
          <w:u w:val="single"/>
          <w:lang w:val="en"/>
        </w:rPr>
        <w:t>DeSales</w:t>
      </w:r>
      <w:r w:rsidRPr="005A2746">
        <w:rPr>
          <w:rFonts w:ascii="Times New Roman" w:eastAsia="Times New Roman" w:hAnsi="Times New Roman" w:cs="Times New Roman"/>
          <w:color w:val="000000"/>
          <w:sz w:val="24"/>
          <w:szCs w:val="24"/>
          <w:u w:val="single"/>
          <w:lang w:val="en"/>
        </w:rPr>
        <w:t xml:space="preserve"> Institution:</w:t>
      </w:r>
      <w:r w:rsidRPr="005A2746">
        <w:rPr>
          <w:rFonts w:ascii="Times New Roman" w:eastAsia="Times New Roman" w:hAnsi="Times New Roman" w:cs="Times New Roman"/>
          <w:color w:val="000000"/>
          <w:sz w:val="24"/>
          <w:szCs w:val="24"/>
          <w:lang w:val="en"/>
        </w:rPr>
        <w:t xml:space="preserve"> </w:t>
      </w:r>
    </w:p>
    <w:p w14:paraId="2AB7FA17" w14:textId="110060C1" w:rsidR="00727BCF" w:rsidRPr="00590FCA" w:rsidRDefault="00727BCF" w:rsidP="00727BCF">
      <w:pPr>
        <w:shd w:val="clear" w:color="auto" w:fill="FFFFFF"/>
        <w:spacing w:line="360" w:lineRule="atLeast"/>
        <w:ind w:left="720"/>
        <w:rPr>
          <w:rFonts w:ascii="Times New Roman" w:eastAsia="Times New Roman" w:hAnsi="Times New Roman" w:cs="Times New Roman"/>
          <w:b/>
          <w:color w:val="000000"/>
          <w:sz w:val="24"/>
          <w:szCs w:val="24"/>
          <w:lang w:val="en"/>
        </w:rPr>
      </w:pPr>
      <w:r w:rsidRPr="005A2746">
        <w:rPr>
          <w:rFonts w:ascii="Times New Roman" w:eastAsia="Times New Roman" w:hAnsi="Times New Roman" w:cs="Times New Roman"/>
          <w:color w:val="000000"/>
          <w:sz w:val="24"/>
          <w:szCs w:val="24"/>
          <w:lang w:val="en"/>
        </w:rPr>
        <w:t xml:space="preserve">In some cases,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may elect to rely on the IRB of a collaborating organization.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investigator may make this request </w:t>
      </w:r>
      <w:r>
        <w:rPr>
          <w:rFonts w:ascii="Times New Roman" w:eastAsia="Times New Roman" w:hAnsi="Times New Roman" w:cs="Times New Roman"/>
          <w:color w:val="000000"/>
          <w:sz w:val="24"/>
          <w:szCs w:val="24"/>
          <w:lang w:val="en"/>
        </w:rPr>
        <w:t xml:space="preserve">by making note of the request in the DeSales IRB application.  </w:t>
      </w:r>
      <w:r w:rsidRPr="005A2746">
        <w:rPr>
          <w:rFonts w:ascii="Times New Roman" w:eastAsia="Times New Roman" w:hAnsi="Times New Roman" w:cs="Times New Roman"/>
          <w:color w:val="000000"/>
          <w:sz w:val="24"/>
          <w:szCs w:val="24"/>
          <w:lang w:val="en"/>
        </w:rPr>
        <w:t xml:space="preserve">Such requests will be carefully considered when the other IRB demonstrates equivalent standards to those of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If the request is accepted,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investigator will need to provide to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the approved IRB application, approved informed consent document(s), and IRB approval letter. </w:t>
      </w:r>
      <w:r>
        <w:rPr>
          <w:rFonts w:ascii="Times New Roman" w:eastAsia="Times New Roman" w:hAnsi="Times New Roman" w:cs="Times New Roman"/>
          <w:color w:val="000000"/>
          <w:sz w:val="24"/>
          <w:szCs w:val="24"/>
          <w:lang w:val="en"/>
        </w:rPr>
        <w:t xml:space="preserve">The IRB Committee </w:t>
      </w:r>
      <w:r w:rsidRPr="005A2746">
        <w:rPr>
          <w:rFonts w:ascii="Times New Roman" w:eastAsia="Times New Roman" w:hAnsi="Times New Roman" w:cs="Times New Roman"/>
          <w:color w:val="000000"/>
          <w:sz w:val="24"/>
          <w:szCs w:val="24"/>
          <w:lang w:val="en"/>
        </w:rPr>
        <w:t xml:space="preserve">will work with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investigator and the other organization to enter into the appropriate signed </w:t>
      </w:r>
      <w:r w:rsidRPr="002A4D44">
        <w:rPr>
          <w:rFonts w:ascii="Times New Roman" w:eastAsia="Times New Roman" w:hAnsi="Times New Roman" w:cs="Times New Roman"/>
          <w:color w:val="000000"/>
          <w:sz w:val="24"/>
          <w:szCs w:val="24"/>
          <w:lang w:val="en"/>
        </w:rPr>
        <w:t xml:space="preserve">agreements.  </w:t>
      </w:r>
      <w:r w:rsidR="00590FCA" w:rsidRPr="002A4D44">
        <w:rPr>
          <w:rFonts w:ascii="Times New Roman" w:eastAsia="Times New Roman" w:hAnsi="Times New Roman" w:cs="Times New Roman"/>
          <w:color w:val="000000"/>
          <w:sz w:val="24"/>
          <w:szCs w:val="24"/>
          <w:lang w:val="en"/>
        </w:rPr>
        <w:t xml:space="preserve">If a request is made for DeSales to rely on the IRB of a non-DeSales Institution, </w:t>
      </w:r>
      <w:r w:rsidRPr="002A4D44">
        <w:rPr>
          <w:rFonts w:ascii="Times New Roman" w:eastAsia="Times New Roman" w:hAnsi="Times New Roman" w:cs="Times New Roman"/>
          <w:b/>
          <w:color w:val="000000"/>
          <w:sz w:val="24"/>
          <w:szCs w:val="24"/>
          <w:lang w:val="en"/>
        </w:rPr>
        <w:t xml:space="preserve">A WRITTEN LETTER OF PERMISSION </w:t>
      </w:r>
      <w:r w:rsidR="00590FCA" w:rsidRPr="002A4D44">
        <w:rPr>
          <w:rFonts w:ascii="Times New Roman" w:eastAsia="Times New Roman" w:hAnsi="Times New Roman" w:cs="Times New Roman"/>
          <w:b/>
          <w:color w:val="000000"/>
          <w:sz w:val="24"/>
          <w:szCs w:val="24"/>
          <w:lang w:val="en"/>
        </w:rPr>
        <w:t>IS NOT REQUIRED with the initial IRB application.</w:t>
      </w:r>
      <w:bookmarkStart w:id="0" w:name="_GoBack"/>
      <w:bookmarkEnd w:id="0"/>
    </w:p>
    <w:p w14:paraId="6F02144D" w14:textId="77777777" w:rsidR="00727BCF" w:rsidRDefault="00727BCF" w:rsidP="00727BCF">
      <w:pPr>
        <w:shd w:val="clear" w:color="auto" w:fill="FFFFFF"/>
        <w:spacing w:line="360" w:lineRule="atLeast"/>
        <w:ind w:left="720"/>
        <w:rPr>
          <w:rFonts w:ascii="Times New Roman" w:eastAsia="Times New Roman" w:hAnsi="Times New Roman" w:cs="Times New Roman"/>
          <w:color w:val="000000"/>
          <w:sz w:val="24"/>
          <w:szCs w:val="24"/>
          <w:lang w:val="en"/>
        </w:rPr>
      </w:pPr>
    </w:p>
    <w:p w14:paraId="3A8B5024" w14:textId="77777777" w:rsidR="003E02E8" w:rsidRDefault="003E02E8" w:rsidP="00E26050">
      <w:pPr>
        <w:shd w:val="clear" w:color="auto" w:fill="FFFFFF"/>
        <w:spacing w:line="360" w:lineRule="atLeast"/>
        <w:rPr>
          <w:rFonts w:ascii="Times New Roman" w:eastAsia="Times New Roman" w:hAnsi="Times New Roman" w:cs="Times New Roman"/>
          <w:b/>
          <w:bCs/>
          <w:color w:val="000000"/>
          <w:sz w:val="24"/>
          <w:szCs w:val="24"/>
          <w:u w:val="single"/>
          <w:lang w:val="en"/>
        </w:rPr>
      </w:pPr>
    </w:p>
    <w:p w14:paraId="6D273735" w14:textId="77777777" w:rsidR="003E02E8" w:rsidRDefault="003E02E8" w:rsidP="00E26050">
      <w:pPr>
        <w:shd w:val="clear" w:color="auto" w:fill="FFFFFF"/>
        <w:spacing w:line="360" w:lineRule="atLeast"/>
        <w:rPr>
          <w:rFonts w:ascii="Times New Roman" w:eastAsia="Times New Roman" w:hAnsi="Times New Roman" w:cs="Times New Roman"/>
          <w:b/>
          <w:bCs/>
          <w:color w:val="000000"/>
          <w:sz w:val="24"/>
          <w:szCs w:val="24"/>
          <w:u w:val="single"/>
          <w:lang w:val="en"/>
        </w:rPr>
      </w:pPr>
    </w:p>
    <w:p w14:paraId="1E865C04" w14:textId="77777777" w:rsidR="003E02E8" w:rsidRDefault="003E02E8" w:rsidP="00E26050">
      <w:pPr>
        <w:shd w:val="clear" w:color="auto" w:fill="FFFFFF"/>
        <w:spacing w:line="360" w:lineRule="atLeast"/>
        <w:rPr>
          <w:rFonts w:ascii="Times New Roman" w:eastAsia="Times New Roman" w:hAnsi="Times New Roman" w:cs="Times New Roman"/>
          <w:b/>
          <w:bCs/>
          <w:color w:val="000000"/>
          <w:sz w:val="24"/>
          <w:szCs w:val="24"/>
          <w:u w:val="single"/>
          <w:lang w:val="en"/>
        </w:rPr>
      </w:pPr>
    </w:p>
    <w:p w14:paraId="3DD1C6E8" w14:textId="77777777" w:rsidR="00727BCF" w:rsidRPr="00F8490C" w:rsidRDefault="00727BCF" w:rsidP="00E26050">
      <w:pPr>
        <w:shd w:val="clear" w:color="auto" w:fill="FFFFFF"/>
        <w:spacing w:line="360" w:lineRule="atLeast"/>
        <w:rPr>
          <w:rFonts w:ascii="Times New Roman" w:eastAsia="Times New Roman" w:hAnsi="Times New Roman" w:cs="Times New Roman"/>
          <w:color w:val="000000"/>
          <w:sz w:val="24"/>
          <w:szCs w:val="24"/>
          <w:u w:val="single"/>
          <w:lang w:val="en"/>
        </w:rPr>
      </w:pPr>
      <w:r w:rsidRPr="00F8490C">
        <w:rPr>
          <w:rFonts w:ascii="Times New Roman" w:eastAsia="Times New Roman" w:hAnsi="Times New Roman" w:cs="Times New Roman"/>
          <w:b/>
          <w:bCs/>
          <w:color w:val="000000"/>
          <w:sz w:val="24"/>
          <w:szCs w:val="24"/>
          <w:u w:val="single"/>
          <w:lang w:val="en"/>
        </w:rPr>
        <w:t>Helpful Links/Notes:</w:t>
      </w:r>
      <w:r w:rsidRPr="00F8490C">
        <w:rPr>
          <w:rFonts w:ascii="Times New Roman" w:eastAsia="Times New Roman" w:hAnsi="Times New Roman" w:cs="Times New Roman"/>
          <w:color w:val="000000"/>
          <w:sz w:val="24"/>
          <w:szCs w:val="24"/>
          <w:u w:val="single"/>
          <w:lang w:val="en"/>
        </w:rPr>
        <w:t xml:space="preserve"> </w:t>
      </w:r>
    </w:p>
    <w:p w14:paraId="33C892B7" w14:textId="77777777" w:rsidR="00727BCF" w:rsidRPr="005A2746" w:rsidRDefault="00727BCF" w:rsidP="00727BCF">
      <w:pPr>
        <w:numPr>
          <w:ilvl w:val="1"/>
          <w:numId w:val="4"/>
        </w:numPr>
        <w:shd w:val="clear" w:color="auto" w:fill="FFFFFF"/>
        <w:tabs>
          <w:tab w:val="clear" w:pos="1440"/>
          <w:tab w:val="num" w:pos="1080"/>
        </w:tabs>
        <w:spacing w:line="360" w:lineRule="atLeast"/>
        <w:ind w:left="108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Allowing another institution to rely upon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requires knowledge of the local research context.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will consider geographic proximity and similarities of communities in the decision to allow for a deferral and/or request information from the other organization pertaining to local context.</w:t>
      </w:r>
    </w:p>
    <w:p w14:paraId="30B1478E" w14:textId="77777777" w:rsidR="00727BCF" w:rsidRDefault="00727BCF" w:rsidP="00727BCF">
      <w:pPr>
        <w:numPr>
          <w:ilvl w:val="1"/>
          <w:numId w:val="4"/>
        </w:numPr>
        <w:shd w:val="clear" w:color="auto" w:fill="FFFFFF"/>
        <w:tabs>
          <w:tab w:val="clear" w:pos="1440"/>
          <w:tab w:val="num" w:pos="1080"/>
        </w:tabs>
        <w:spacing w:line="360" w:lineRule="atLeast"/>
        <w:ind w:left="1080"/>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considers requests for IRB de</w:t>
      </w:r>
      <w:r>
        <w:rPr>
          <w:rFonts w:ascii="Times New Roman" w:eastAsia="Times New Roman" w:hAnsi="Times New Roman" w:cs="Times New Roman"/>
          <w:color w:val="000000"/>
          <w:sz w:val="24"/>
          <w:szCs w:val="24"/>
          <w:lang w:val="en"/>
        </w:rPr>
        <w:t>ferrals on a case-by-case basis.</w:t>
      </w:r>
    </w:p>
    <w:p w14:paraId="1C12DA98" w14:textId="77777777" w:rsidR="00727BCF" w:rsidRPr="00B640B8" w:rsidRDefault="00727BCF" w:rsidP="00727BCF">
      <w:pPr>
        <w:pStyle w:val="ListParagraph"/>
        <w:numPr>
          <w:ilvl w:val="0"/>
          <w:numId w:val="15"/>
        </w:numPr>
        <w:ind w:left="1080"/>
        <w:rPr>
          <w:rFonts w:ascii="Times New Roman" w:hAnsi="Times New Roman" w:cs="Times New Roman"/>
        </w:rPr>
      </w:pPr>
      <w:r w:rsidRPr="00B640B8">
        <w:rPr>
          <w:rFonts w:ascii="Times New Roman" w:hAnsi="Times New Roman" w:cs="Times New Roman"/>
          <w:bCs/>
          <w:sz w:val="24"/>
          <w:szCs w:val="24"/>
          <w:u w:val="single"/>
          <w:lang w:val="en"/>
        </w:rPr>
        <w:lastRenderedPageBreak/>
        <w:t>Tips for conducting research at LVHN</w:t>
      </w:r>
      <w:r>
        <w:rPr>
          <w:rFonts w:ascii="Times New Roman" w:hAnsi="Times New Roman" w:cs="Times New Roman"/>
          <w:bCs/>
          <w:sz w:val="24"/>
          <w:szCs w:val="24"/>
          <w:u w:val="single"/>
          <w:lang w:val="en"/>
        </w:rPr>
        <w:t xml:space="preserve"> </w:t>
      </w:r>
    </w:p>
    <w:p w14:paraId="1A58C20D" w14:textId="77777777" w:rsidR="00727BCF" w:rsidRPr="00B640B8" w:rsidRDefault="00727BCF" w:rsidP="00727BCF">
      <w:pPr>
        <w:pStyle w:val="ListParagraph"/>
        <w:numPr>
          <w:ilvl w:val="0"/>
          <w:numId w:val="15"/>
        </w:numPr>
        <w:ind w:left="1800"/>
        <w:rPr>
          <w:rFonts w:ascii="Times New Roman" w:hAnsi="Times New Roman" w:cs="Times New Roman"/>
        </w:rPr>
      </w:pPr>
      <w:r w:rsidRPr="00B640B8">
        <w:rPr>
          <w:rFonts w:ascii="Times New Roman" w:hAnsi="Times New Roman" w:cs="Times New Roman"/>
          <w:bCs/>
          <w:sz w:val="24"/>
          <w:szCs w:val="24"/>
        </w:rPr>
        <w:t xml:space="preserve">Submit the DeSales IRB Application and indicate that you will conduct the study at LVHN.  A DeSales faculty member will serve </w:t>
      </w:r>
      <w:r>
        <w:rPr>
          <w:rFonts w:ascii="Times New Roman" w:hAnsi="Times New Roman" w:cs="Times New Roman"/>
          <w:bCs/>
          <w:sz w:val="24"/>
          <w:szCs w:val="24"/>
        </w:rPr>
        <w:t>as the Principal Investigator (</w:t>
      </w:r>
      <w:r w:rsidRPr="00B640B8">
        <w:rPr>
          <w:rFonts w:ascii="Times New Roman" w:hAnsi="Times New Roman" w:cs="Times New Roman"/>
          <w:bCs/>
          <w:sz w:val="24"/>
          <w:szCs w:val="24"/>
        </w:rPr>
        <w:t xml:space="preserve">PI) on this application.  </w:t>
      </w:r>
    </w:p>
    <w:p w14:paraId="5A19357A" w14:textId="77777777" w:rsidR="00727BCF" w:rsidRPr="00B640B8" w:rsidRDefault="00727BCF" w:rsidP="00727BCF">
      <w:pPr>
        <w:pStyle w:val="ListParagraph"/>
        <w:numPr>
          <w:ilvl w:val="0"/>
          <w:numId w:val="15"/>
        </w:numPr>
        <w:ind w:left="1800"/>
        <w:rPr>
          <w:rFonts w:ascii="Times New Roman" w:hAnsi="Times New Roman" w:cs="Times New Roman"/>
        </w:rPr>
      </w:pPr>
      <w:r w:rsidRPr="00B640B8">
        <w:rPr>
          <w:rFonts w:ascii="Times New Roman" w:hAnsi="Times New Roman" w:cs="Times New Roman"/>
          <w:bCs/>
          <w:sz w:val="24"/>
          <w:szCs w:val="24"/>
        </w:rPr>
        <w:t>Please contact Vicki Sabella</w:t>
      </w:r>
      <w:r w:rsidRPr="00B640B8">
        <w:rPr>
          <w:rFonts w:ascii="Times New Roman" w:hAnsi="Times New Roman" w:cs="Times New Roman"/>
        </w:rPr>
        <w:t xml:space="preserve"> </w:t>
      </w:r>
      <w:r w:rsidRPr="00B640B8">
        <w:rPr>
          <w:rFonts w:ascii="Times New Roman" w:hAnsi="Times New Roman" w:cs="Times New Roman"/>
          <w:bCs/>
        </w:rPr>
        <w:t>at</w:t>
      </w:r>
      <w:r w:rsidRPr="00B640B8">
        <w:rPr>
          <w:rFonts w:ascii="Times New Roman" w:hAnsi="Times New Roman" w:cs="Times New Roman"/>
        </w:rPr>
        <w:t xml:space="preserve"> </w:t>
      </w:r>
      <w:hyperlink r:id="rId8" w:history="1">
        <w:r w:rsidRPr="00B640B8">
          <w:rPr>
            <w:rStyle w:val="Hyperlink"/>
            <w:rFonts w:ascii="Times New Roman" w:hAnsi="Times New Roman" w:cs="Times New Roman"/>
            <w:bCs/>
            <w:sz w:val="24"/>
            <w:szCs w:val="24"/>
          </w:rPr>
          <w:t>Victoria.Sabella@lvhn.org</w:t>
        </w:r>
      </w:hyperlink>
      <w:r w:rsidRPr="00B640B8">
        <w:rPr>
          <w:rFonts w:ascii="Times New Roman" w:hAnsi="Times New Roman" w:cs="Times New Roman"/>
          <w:bCs/>
          <w:sz w:val="24"/>
          <w:szCs w:val="24"/>
        </w:rPr>
        <w:t>.  She is your first point of contact at LVHN.   </w:t>
      </w:r>
    </w:p>
    <w:p w14:paraId="14257179" w14:textId="77777777" w:rsidR="00727BCF" w:rsidRPr="00B640B8" w:rsidRDefault="00727BCF" w:rsidP="00727BCF">
      <w:pPr>
        <w:pStyle w:val="ListParagraph"/>
        <w:numPr>
          <w:ilvl w:val="0"/>
          <w:numId w:val="15"/>
        </w:numPr>
        <w:ind w:left="1800"/>
        <w:rPr>
          <w:rFonts w:ascii="Times New Roman" w:hAnsi="Times New Roman" w:cs="Times New Roman"/>
        </w:rPr>
      </w:pPr>
      <w:r w:rsidRPr="00B640B8">
        <w:rPr>
          <w:rFonts w:ascii="Times New Roman" w:hAnsi="Times New Roman" w:cs="Times New Roman"/>
          <w:bCs/>
          <w:sz w:val="24"/>
          <w:szCs w:val="24"/>
        </w:rPr>
        <w:t>Please allow at minimum 60 days to receive approval from the LVHN IRB Office for studies conducted at LVHN.</w:t>
      </w:r>
    </w:p>
    <w:p w14:paraId="7B7EF4DD" w14:textId="77777777" w:rsidR="00727BCF" w:rsidRDefault="00727BCF" w:rsidP="00727BCF">
      <w:pPr>
        <w:pStyle w:val="ListParagraph"/>
        <w:numPr>
          <w:ilvl w:val="0"/>
          <w:numId w:val="15"/>
        </w:numPr>
        <w:ind w:left="1800"/>
        <w:rPr>
          <w:rFonts w:ascii="Times New Roman" w:hAnsi="Times New Roman" w:cs="Times New Roman"/>
          <w:bCs/>
          <w:sz w:val="24"/>
          <w:szCs w:val="24"/>
        </w:rPr>
      </w:pPr>
      <w:r w:rsidRPr="00B640B8">
        <w:rPr>
          <w:rFonts w:ascii="Times New Roman" w:hAnsi="Times New Roman" w:cs="Times New Roman"/>
          <w:bCs/>
          <w:sz w:val="24"/>
          <w:szCs w:val="24"/>
        </w:rPr>
        <w:t xml:space="preserve">LVHN uses a 3-step research approval process. </w:t>
      </w:r>
    </w:p>
    <w:p w14:paraId="5084AE2E" w14:textId="77777777" w:rsidR="00727BCF" w:rsidRDefault="00727BCF" w:rsidP="00727BCF">
      <w:pPr>
        <w:pStyle w:val="ListParagraph"/>
        <w:numPr>
          <w:ilvl w:val="1"/>
          <w:numId w:val="15"/>
        </w:numPr>
        <w:ind w:left="2520"/>
        <w:rPr>
          <w:rFonts w:ascii="Times New Roman" w:hAnsi="Times New Roman" w:cs="Times New Roman"/>
          <w:bCs/>
          <w:sz w:val="24"/>
          <w:szCs w:val="24"/>
        </w:rPr>
      </w:pPr>
      <w:r w:rsidRPr="00B640B8">
        <w:rPr>
          <w:rFonts w:ascii="Times New Roman" w:hAnsi="Times New Roman" w:cs="Times New Roman"/>
          <w:bCs/>
          <w:sz w:val="24"/>
          <w:szCs w:val="24"/>
        </w:rPr>
        <w:t xml:space="preserve">Departmental Review, </w:t>
      </w:r>
    </w:p>
    <w:p w14:paraId="0D1B0A22" w14:textId="77777777" w:rsidR="00727BCF" w:rsidRDefault="00727BCF" w:rsidP="00727BCF">
      <w:pPr>
        <w:pStyle w:val="ListParagraph"/>
        <w:numPr>
          <w:ilvl w:val="1"/>
          <w:numId w:val="15"/>
        </w:numPr>
        <w:ind w:left="2520"/>
        <w:rPr>
          <w:rFonts w:ascii="Times New Roman" w:hAnsi="Times New Roman" w:cs="Times New Roman"/>
          <w:bCs/>
          <w:sz w:val="24"/>
          <w:szCs w:val="24"/>
        </w:rPr>
      </w:pPr>
      <w:r w:rsidRPr="00B640B8">
        <w:rPr>
          <w:rFonts w:ascii="Times New Roman" w:hAnsi="Times New Roman" w:cs="Times New Roman"/>
          <w:bCs/>
          <w:sz w:val="24"/>
          <w:szCs w:val="24"/>
        </w:rPr>
        <w:t xml:space="preserve">Network Office of Research and Innovation Feasibility Review, and </w:t>
      </w:r>
    </w:p>
    <w:p w14:paraId="616071A6" w14:textId="77777777" w:rsidR="00727BCF" w:rsidRDefault="00727BCF" w:rsidP="00727BCF">
      <w:pPr>
        <w:pStyle w:val="ListParagraph"/>
        <w:numPr>
          <w:ilvl w:val="1"/>
          <w:numId w:val="15"/>
        </w:numPr>
        <w:ind w:left="2520"/>
        <w:rPr>
          <w:rFonts w:ascii="Times New Roman" w:hAnsi="Times New Roman" w:cs="Times New Roman"/>
          <w:bCs/>
          <w:sz w:val="24"/>
          <w:szCs w:val="24"/>
        </w:rPr>
      </w:pPr>
      <w:r w:rsidRPr="00B640B8">
        <w:rPr>
          <w:rFonts w:ascii="Times New Roman" w:hAnsi="Times New Roman" w:cs="Times New Roman"/>
          <w:bCs/>
          <w:sz w:val="24"/>
          <w:szCs w:val="24"/>
        </w:rPr>
        <w:t xml:space="preserve">IRB Review.  </w:t>
      </w:r>
    </w:p>
    <w:p w14:paraId="4BF4C917" w14:textId="77777777" w:rsidR="00727BCF" w:rsidRDefault="00727BCF" w:rsidP="00727BCF">
      <w:pPr>
        <w:pStyle w:val="ListParagraph"/>
        <w:ind w:left="1800"/>
        <w:rPr>
          <w:rFonts w:ascii="Times New Roman" w:hAnsi="Times New Roman" w:cs="Times New Roman"/>
          <w:bCs/>
          <w:sz w:val="24"/>
          <w:szCs w:val="24"/>
        </w:rPr>
      </w:pPr>
      <w:r w:rsidRPr="00B640B8">
        <w:rPr>
          <w:rFonts w:ascii="Times New Roman" w:hAnsi="Times New Roman" w:cs="Times New Roman"/>
          <w:bCs/>
          <w:sz w:val="24"/>
          <w:szCs w:val="24"/>
        </w:rPr>
        <w:t>Please carefully read the materials provided on the Network Office of Research and Innovation’s website and follow each step in the process. </w:t>
      </w:r>
    </w:p>
    <w:p w14:paraId="08D364C1" w14:textId="77777777" w:rsidR="00727BCF" w:rsidRPr="00B640B8" w:rsidRDefault="00727BCF" w:rsidP="00727BCF">
      <w:pPr>
        <w:pStyle w:val="ListParagraph"/>
        <w:ind w:left="1800"/>
        <w:rPr>
          <w:rFonts w:ascii="Times New Roman" w:hAnsi="Times New Roman" w:cs="Times New Roman"/>
          <w:bCs/>
          <w:sz w:val="24"/>
          <w:szCs w:val="24"/>
        </w:rPr>
      </w:pPr>
      <w:r>
        <w:rPr>
          <w:b/>
          <w:bCs/>
          <w:color w:val="FF0000"/>
          <w:sz w:val="24"/>
          <w:szCs w:val="24"/>
        </w:rPr>
        <w:t>(</w:t>
      </w:r>
      <w:hyperlink r:id="rId9" w:history="1">
        <w:r>
          <w:rPr>
            <w:rStyle w:val="Hyperlink"/>
            <w:b/>
            <w:bCs/>
            <w:color w:val="FF0000"/>
            <w:sz w:val="24"/>
            <w:szCs w:val="24"/>
          </w:rPr>
          <w:t>http://lvhwebcontent.lvh.com/?id=2254&amp;sid=1</w:t>
        </w:r>
      </w:hyperlink>
      <w:r>
        <w:rPr>
          <w:b/>
          <w:bCs/>
          <w:color w:val="FF0000"/>
          <w:sz w:val="24"/>
          <w:szCs w:val="24"/>
        </w:rPr>
        <w:t xml:space="preserve">).  </w:t>
      </w:r>
      <w:r>
        <w:rPr>
          <w:rFonts w:ascii="Times New Roman" w:hAnsi="Times New Roman" w:cs="Times New Roman"/>
          <w:bCs/>
          <w:sz w:val="24"/>
          <w:szCs w:val="24"/>
        </w:rPr>
        <w:t>T</w:t>
      </w:r>
      <w:r w:rsidRPr="00B640B8">
        <w:rPr>
          <w:rFonts w:ascii="Times New Roman" w:hAnsi="Times New Roman" w:cs="Times New Roman"/>
          <w:bCs/>
          <w:sz w:val="24"/>
          <w:szCs w:val="24"/>
        </w:rPr>
        <w:t>his website contains the necessary templates, forms, and guidance that each investigator must follow to safely conduct research at LVHN.</w:t>
      </w:r>
    </w:p>
    <w:p w14:paraId="30CCFB15" w14:textId="77777777" w:rsidR="00727BCF" w:rsidRPr="00B640B8" w:rsidRDefault="00727BCF" w:rsidP="00727BCF">
      <w:pPr>
        <w:ind w:left="720"/>
        <w:rPr>
          <w:rFonts w:ascii="Times New Roman" w:hAnsi="Times New Roman" w:cs="Times New Roman"/>
          <w:sz w:val="24"/>
          <w:szCs w:val="24"/>
        </w:rPr>
      </w:pPr>
    </w:p>
    <w:p w14:paraId="42C92C98" w14:textId="77777777" w:rsidR="00727BCF" w:rsidRPr="00F8490C" w:rsidRDefault="00727BCF" w:rsidP="00727BCF">
      <w:pPr>
        <w:shd w:val="clear" w:color="auto" w:fill="FFFFFF"/>
        <w:spacing w:line="360" w:lineRule="atLeast"/>
        <w:rPr>
          <w:rFonts w:ascii="Times New Roman" w:eastAsia="Times New Roman" w:hAnsi="Times New Roman" w:cs="Times New Roman"/>
          <w:color w:val="000000"/>
          <w:sz w:val="24"/>
          <w:szCs w:val="24"/>
          <w:u w:val="single"/>
          <w:lang w:val="en"/>
        </w:rPr>
      </w:pPr>
      <w:r w:rsidRPr="00F8490C">
        <w:rPr>
          <w:rFonts w:ascii="Times New Roman" w:eastAsia="Times New Roman" w:hAnsi="Times New Roman" w:cs="Times New Roman"/>
          <w:b/>
          <w:bCs/>
          <w:color w:val="000000"/>
          <w:sz w:val="24"/>
          <w:szCs w:val="24"/>
          <w:u w:val="single"/>
          <w:lang w:val="en"/>
        </w:rPr>
        <w:t>DeSales Principal Investigator Responsibilities for Collaborative Research</w:t>
      </w:r>
      <w:r w:rsidRPr="00F8490C">
        <w:rPr>
          <w:rFonts w:ascii="Times New Roman" w:eastAsia="Times New Roman" w:hAnsi="Times New Roman" w:cs="Times New Roman"/>
          <w:color w:val="000000"/>
          <w:sz w:val="24"/>
          <w:szCs w:val="24"/>
          <w:u w:val="single"/>
          <w:lang w:val="en"/>
        </w:rPr>
        <w:t xml:space="preserve"> </w:t>
      </w:r>
    </w:p>
    <w:p w14:paraId="3AC0A680" w14:textId="77777777" w:rsidR="00727BCF" w:rsidRPr="005A2746" w:rsidRDefault="00727BCF" w:rsidP="00727BCF">
      <w:pPr>
        <w:shd w:val="clear" w:color="auto" w:fill="FFFFFF"/>
        <w:spacing w:line="360" w:lineRule="atLeast"/>
        <w:ind w:left="36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When collaborating with non-</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organizations, it is the responsibility of 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principal investigator to ensure that:</w:t>
      </w:r>
    </w:p>
    <w:p w14:paraId="0BC049D4" w14:textId="77777777" w:rsidR="00727BCF" w:rsidRPr="005A2746" w:rsidRDefault="00727BCF" w:rsidP="00727BCF">
      <w:pPr>
        <w:numPr>
          <w:ilvl w:val="1"/>
          <w:numId w:val="11"/>
        </w:numPr>
        <w:shd w:val="clear" w:color="auto" w:fill="FFFFFF"/>
        <w:tabs>
          <w:tab w:val="clear" w:pos="1440"/>
          <w:tab w:val="num" w:pos="2160"/>
        </w:tabs>
        <w:spacing w:line="360" w:lineRule="atLeast"/>
        <w:ind w:left="72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adequate resources will be available at the non-</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institution to conduct the research safely and effectively in full accordance with the approved protocol;</w:t>
      </w:r>
    </w:p>
    <w:p w14:paraId="6ADD0EDF" w14:textId="77777777" w:rsidR="00727BCF" w:rsidRPr="005A2746" w:rsidRDefault="00727BCF" w:rsidP="00727BCF">
      <w:pPr>
        <w:numPr>
          <w:ilvl w:val="1"/>
          <w:numId w:val="11"/>
        </w:numPr>
        <w:shd w:val="clear" w:color="auto" w:fill="FFFFFF"/>
        <w:tabs>
          <w:tab w:val="clear" w:pos="1440"/>
          <w:tab w:val="num" w:pos="2160"/>
        </w:tabs>
        <w:spacing w:line="360" w:lineRule="atLeast"/>
        <w:ind w:left="72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all persons interacting with human subjects and/or their identifiable data are adequately trained in the protection of human subjects, regardless of their employment status with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w:t>
      </w:r>
    </w:p>
    <w:p w14:paraId="3D907E71" w14:textId="77777777" w:rsidR="00727BCF" w:rsidRPr="005A2746" w:rsidRDefault="00727BCF" w:rsidP="00727BCF">
      <w:pPr>
        <w:numPr>
          <w:ilvl w:val="1"/>
          <w:numId w:val="11"/>
        </w:numPr>
        <w:shd w:val="clear" w:color="auto" w:fill="FFFFFF"/>
        <w:tabs>
          <w:tab w:val="clear" w:pos="1440"/>
          <w:tab w:val="num" w:pos="2160"/>
        </w:tabs>
        <w:spacing w:line="360" w:lineRule="atLeast"/>
        <w:ind w:left="72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the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IRB receives complete reports of all IRB-reportable events occurring both at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and at the non-</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institution;</w:t>
      </w:r>
    </w:p>
    <w:p w14:paraId="6B4F9196" w14:textId="77777777" w:rsidR="00727BCF" w:rsidRPr="005A2746" w:rsidRDefault="00727BCF" w:rsidP="00727BCF">
      <w:pPr>
        <w:numPr>
          <w:ilvl w:val="1"/>
          <w:numId w:val="11"/>
        </w:numPr>
        <w:shd w:val="clear" w:color="auto" w:fill="FFFFFF"/>
        <w:tabs>
          <w:tab w:val="clear" w:pos="1440"/>
          <w:tab w:val="num" w:pos="2160"/>
        </w:tabs>
        <w:spacing w:line="360" w:lineRule="atLeast"/>
        <w:ind w:left="720"/>
        <w:rPr>
          <w:rFonts w:ascii="Times New Roman" w:eastAsia="Times New Roman" w:hAnsi="Times New Roman" w:cs="Times New Roman"/>
          <w:color w:val="000000"/>
          <w:sz w:val="24"/>
          <w:szCs w:val="24"/>
          <w:lang w:val="en"/>
        </w:rPr>
      </w:pPr>
      <w:r w:rsidRPr="005A2746">
        <w:rPr>
          <w:rFonts w:ascii="Times New Roman" w:eastAsia="Times New Roman" w:hAnsi="Times New Roman" w:cs="Times New Roman"/>
          <w:color w:val="000000"/>
          <w:sz w:val="24"/>
          <w:szCs w:val="24"/>
          <w:lang w:val="en"/>
        </w:rPr>
        <w:t xml:space="preserve">applicable state law relative to research outside of </w:t>
      </w:r>
      <w:r>
        <w:rPr>
          <w:rFonts w:ascii="Times New Roman" w:eastAsia="Times New Roman" w:hAnsi="Times New Roman" w:cs="Times New Roman"/>
          <w:color w:val="000000"/>
          <w:sz w:val="24"/>
          <w:szCs w:val="24"/>
          <w:lang w:val="en"/>
        </w:rPr>
        <w:t>Pennsylvania</w:t>
      </w:r>
      <w:r w:rsidRPr="005A2746">
        <w:rPr>
          <w:rFonts w:ascii="Times New Roman" w:eastAsia="Times New Roman" w:hAnsi="Times New Roman" w:cs="Times New Roman"/>
          <w:color w:val="000000"/>
          <w:sz w:val="24"/>
          <w:szCs w:val="24"/>
          <w:lang w:val="en"/>
        </w:rPr>
        <w:t xml:space="preserve"> is incorporated into the research design, especially as it applies to enrollment and informed consent; and</w:t>
      </w:r>
    </w:p>
    <w:p w14:paraId="66910DD8" w14:textId="77777777" w:rsidR="00727BCF" w:rsidRDefault="00727BCF" w:rsidP="00727BCF">
      <w:pPr>
        <w:numPr>
          <w:ilvl w:val="1"/>
          <w:numId w:val="11"/>
        </w:numPr>
        <w:shd w:val="clear" w:color="auto" w:fill="FFFFFF"/>
        <w:tabs>
          <w:tab w:val="clear" w:pos="1440"/>
          <w:tab w:val="num" w:pos="2160"/>
        </w:tabs>
        <w:spacing w:line="360" w:lineRule="atLeast"/>
        <w:ind w:left="720"/>
        <w:rPr>
          <w:rFonts w:ascii="Times New Roman" w:eastAsia="Times New Roman" w:hAnsi="Times New Roman" w:cs="Times New Roman"/>
          <w:color w:val="000000"/>
          <w:sz w:val="24"/>
          <w:szCs w:val="24"/>
          <w:lang w:val="en"/>
        </w:rPr>
      </w:pPr>
      <w:proofErr w:type="gramStart"/>
      <w:r w:rsidRPr="005A2746">
        <w:rPr>
          <w:rFonts w:ascii="Times New Roman" w:eastAsia="Times New Roman" w:hAnsi="Times New Roman" w:cs="Times New Roman"/>
          <w:color w:val="000000"/>
          <w:sz w:val="24"/>
          <w:szCs w:val="24"/>
          <w:lang w:val="en"/>
        </w:rPr>
        <w:t>the</w:t>
      </w:r>
      <w:proofErr w:type="gramEnd"/>
      <w:r w:rsidRPr="005A2746">
        <w:rPr>
          <w:rFonts w:ascii="Times New Roman" w:eastAsia="Times New Roman" w:hAnsi="Times New Roman" w:cs="Times New Roman"/>
          <w:color w:val="000000"/>
          <w:sz w:val="24"/>
          <w:szCs w:val="24"/>
          <w:lang w:val="en"/>
        </w:rPr>
        <w:t xml:space="preserve"> consent documents fairly and accurately represent the involvement of </w:t>
      </w:r>
      <w:r>
        <w:rPr>
          <w:rFonts w:ascii="Times New Roman" w:eastAsia="Times New Roman" w:hAnsi="Times New Roman" w:cs="Times New Roman"/>
          <w:color w:val="000000"/>
          <w:sz w:val="24"/>
          <w:szCs w:val="24"/>
          <w:lang w:val="en"/>
        </w:rPr>
        <w:t>DeSales</w:t>
      </w:r>
      <w:r w:rsidRPr="005A2746">
        <w:rPr>
          <w:rFonts w:ascii="Times New Roman" w:eastAsia="Times New Roman" w:hAnsi="Times New Roman" w:cs="Times New Roman"/>
          <w:color w:val="000000"/>
          <w:sz w:val="24"/>
          <w:szCs w:val="24"/>
          <w:lang w:val="en"/>
        </w:rPr>
        <w:t xml:space="preserve"> in the research and the decisions of all responsible IRBs reviewing the research.</w:t>
      </w:r>
    </w:p>
    <w:p w14:paraId="65CCF61A" w14:textId="77777777" w:rsidR="00727BCF" w:rsidRDefault="00727BCF" w:rsidP="00727BCF">
      <w:pPr>
        <w:shd w:val="clear" w:color="auto" w:fill="FFFFFF"/>
        <w:spacing w:line="360" w:lineRule="atLeast"/>
        <w:rPr>
          <w:rFonts w:ascii="Times New Roman" w:eastAsia="Times New Roman" w:hAnsi="Times New Roman" w:cs="Times New Roman"/>
          <w:color w:val="000000"/>
          <w:sz w:val="24"/>
          <w:szCs w:val="24"/>
          <w:lang w:val="en"/>
        </w:rPr>
      </w:pPr>
    </w:p>
    <w:p w14:paraId="030A2D19" w14:textId="77777777" w:rsidR="00727BCF" w:rsidRPr="00B640B8" w:rsidRDefault="00727BCF" w:rsidP="00727BCF">
      <w:pPr>
        <w:rPr>
          <w:rFonts w:ascii="Times New Roman" w:hAnsi="Times New Roman" w:cs="Times New Roman"/>
          <w:sz w:val="24"/>
          <w:szCs w:val="24"/>
        </w:rPr>
      </w:pPr>
      <w:r w:rsidRPr="00B640B8">
        <w:rPr>
          <w:rFonts w:ascii="Times New Roman" w:hAnsi="Times New Roman" w:cs="Times New Roman"/>
          <w:bCs/>
          <w:sz w:val="24"/>
          <w:szCs w:val="24"/>
          <w:lang w:val="en"/>
        </w:rPr>
        <w:t> </w:t>
      </w:r>
    </w:p>
    <w:p w14:paraId="3870CFE8" w14:textId="77777777" w:rsidR="00727BCF" w:rsidRPr="00B640B8" w:rsidRDefault="00727BCF" w:rsidP="00727BCF">
      <w:pPr>
        <w:ind w:left="720"/>
        <w:rPr>
          <w:rFonts w:ascii="Times New Roman" w:hAnsi="Times New Roman" w:cs="Times New Roman"/>
          <w:sz w:val="24"/>
          <w:szCs w:val="24"/>
        </w:rPr>
      </w:pPr>
    </w:p>
    <w:p w14:paraId="3B443278" w14:textId="77777777" w:rsidR="00065FE6" w:rsidRDefault="00065FE6" w:rsidP="001D3300">
      <w:pPr>
        <w:shd w:val="clear" w:color="auto" w:fill="FFFFFF"/>
        <w:spacing w:line="360" w:lineRule="atLeast"/>
        <w:rPr>
          <w:rFonts w:ascii="Times New Roman" w:eastAsia="Times New Roman" w:hAnsi="Times New Roman" w:cs="Times New Roman"/>
          <w:color w:val="000000"/>
          <w:sz w:val="24"/>
          <w:szCs w:val="24"/>
          <w:lang w:val="en"/>
        </w:rPr>
      </w:pPr>
    </w:p>
    <w:sectPr w:rsidR="00065FE6" w:rsidSect="006D6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26D5"/>
    <w:multiLevelType w:val="hybridMultilevel"/>
    <w:tmpl w:val="DCA4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665C5"/>
    <w:multiLevelType w:val="hybridMultilevel"/>
    <w:tmpl w:val="7414A2A4"/>
    <w:lvl w:ilvl="0" w:tplc="4FD63EB8">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91C1D"/>
    <w:multiLevelType w:val="multilevel"/>
    <w:tmpl w:val="660C519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9A1149F"/>
    <w:multiLevelType w:val="multilevel"/>
    <w:tmpl w:val="7B6E93C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0B91756B"/>
    <w:multiLevelType w:val="multilevel"/>
    <w:tmpl w:val="BCF492B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45B0AFB"/>
    <w:multiLevelType w:val="multilevel"/>
    <w:tmpl w:val="660C519A"/>
    <w:lvl w:ilvl="0">
      <w:start w:val="1"/>
      <w:numFmt w:val="upperRoman"/>
      <w:lvlText w:val="%1."/>
      <w:lvlJc w:val="right"/>
      <w:pPr>
        <w:tabs>
          <w:tab w:val="num" w:pos="720"/>
        </w:tabs>
        <w:ind w:left="720" w:hanging="360"/>
      </w:pPr>
    </w:lvl>
    <w:lvl w:ilvl="1">
      <w:numFmt w:val="upperLetter"/>
      <w:lvlText w:val="%2."/>
      <w:lvlJc w:val="left"/>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4B93374"/>
    <w:multiLevelType w:val="multilevel"/>
    <w:tmpl w:val="5F9AFEA0"/>
    <w:lvl w:ilvl="0">
      <w:start w:val="1"/>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7">
    <w:nsid w:val="1621283B"/>
    <w:multiLevelType w:val="multilevel"/>
    <w:tmpl w:val="660C519A"/>
    <w:lvl w:ilvl="0">
      <w:start w:val="1"/>
      <w:numFmt w:val="upperRoman"/>
      <w:lvlText w:val="%1."/>
      <w:lvlJc w:val="right"/>
      <w:pPr>
        <w:tabs>
          <w:tab w:val="num" w:pos="720"/>
        </w:tabs>
        <w:ind w:left="720" w:hanging="360"/>
      </w:pPr>
    </w:lvl>
    <w:lvl w:ilvl="1">
      <w:numFmt w:val="upperLetter"/>
      <w:lvlText w:val="%2."/>
      <w:lvlJc w:val="left"/>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166A086C"/>
    <w:multiLevelType w:val="hybridMultilevel"/>
    <w:tmpl w:val="718A5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65C24"/>
    <w:multiLevelType w:val="hybridMultilevel"/>
    <w:tmpl w:val="7D3C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62FD4"/>
    <w:multiLevelType w:val="multilevel"/>
    <w:tmpl w:val="660C519A"/>
    <w:lvl w:ilvl="0">
      <w:start w:val="1"/>
      <w:numFmt w:val="upperRoman"/>
      <w:lvlText w:val="%1."/>
      <w:lvlJc w:val="right"/>
      <w:pPr>
        <w:tabs>
          <w:tab w:val="num" w:pos="720"/>
        </w:tabs>
        <w:ind w:left="720" w:hanging="360"/>
      </w:pPr>
    </w:lvl>
    <w:lvl w:ilvl="1">
      <w:numFmt w:val="upperLetter"/>
      <w:lvlText w:val="%2."/>
      <w:lvlJc w:val="left"/>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304206B9"/>
    <w:multiLevelType w:val="multilevel"/>
    <w:tmpl w:val="7DF6D5A2"/>
    <w:lvl w:ilvl="0">
      <w:start w:val="1"/>
      <w:numFmt w:val="upperRoman"/>
      <w:lvlText w:val="%1."/>
      <w:lvlJc w:val="right"/>
      <w:pPr>
        <w:tabs>
          <w:tab w:val="num" w:pos="720"/>
        </w:tabs>
        <w:ind w:left="720" w:hanging="360"/>
      </w:pPr>
      <w:rPr>
        <w:rFonts w:hint="default"/>
      </w:rPr>
    </w:lvl>
    <w:lvl w:ilvl="1">
      <w:start w:val="2"/>
      <w:numFmt w:val="lowerLetter"/>
      <w:lvlText w:val="%2."/>
      <w:lvlJc w:val="left"/>
      <w:pPr>
        <w:ind w:left="0" w:firstLine="0"/>
      </w:pPr>
      <w:rPr>
        <w:rFonts w:hint="default"/>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2">
    <w:nsid w:val="313C1371"/>
    <w:multiLevelType w:val="multilevel"/>
    <w:tmpl w:val="D38E8526"/>
    <w:lvl w:ilvl="0">
      <w:start w:val="5"/>
      <w:numFmt w:val="upperRoman"/>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3">
    <w:nsid w:val="319604C5"/>
    <w:multiLevelType w:val="multilevel"/>
    <w:tmpl w:val="0584FC3E"/>
    <w:lvl w:ilvl="0">
      <w:start w:val="3"/>
      <w:numFmt w:val="upp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4"/>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4">
    <w:nsid w:val="36D13457"/>
    <w:multiLevelType w:val="multilevel"/>
    <w:tmpl w:val="7B6E93C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5174852"/>
    <w:multiLevelType w:val="multilevel"/>
    <w:tmpl w:val="8236B454"/>
    <w:lvl w:ilvl="0">
      <w:start w:val="1"/>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642218C"/>
    <w:multiLevelType w:val="hybridMultilevel"/>
    <w:tmpl w:val="72D82AE8"/>
    <w:lvl w:ilvl="0" w:tplc="04090003">
      <w:start w:val="1"/>
      <w:numFmt w:val="bullet"/>
      <w:lvlText w:val="o"/>
      <w:lvlJc w:val="left"/>
      <w:pPr>
        <w:ind w:left="720" w:hanging="360"/>
      </w:pPr>
      <w:rPr>
        <w:rFonts w:ascii="Courier New" w:hAnsi="Courier New" w:cs="Courier New"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6933E2"/>
    <w:multiLevelType w:val="multilevel"/>
    <w:tmpl w:val="8236B454"/>
    <w:lvl w:ilvl="0">
      <w:start w:val="1"/>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5F31993"/>
    <w:multiLevelType w:val="multilevel"/>
    <w:tmpl w:val="86060E3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7B622986"/>
    <w:multiLevelType w:val="multilevel"/>
    <w:tmpl w:val="D7F096C8"/>
    <w:lvl w:ilvl="0">
      <w:start w:val="4"/>
      <w:numFmt w:val="upperRoman"/>
      <w:lvlText w:val="%1."/>
      <w:lvlJc w:val="right"/>
      <w:pPr>
        <w:tabs>
          <w:tab w:val="num" w:pos="720"/>
        </w:tabs>
        <w:ind w:left="720" w:hanging="360"/>
      </w:pPr>
      <w:rPr>
        <w:rFonts w:hint="default"/>
      </w:rPr>
    </w:lvl>
    <w:lvl w:ilvl="1">
      <w:start w:val="1"/>
      <w:numFmt w:val="upperLetter"/>
      <w:lvlText w:val="%2."/>
      <w:lvlJc w:val="left"/>
      <w:pPr>
        <w:ind w:left="0" w:firstLine="0"/>
      </w:pPr>
      <w:rPr>
        <w:rFonts w:hint="default"/>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0">
    <w:nsid w:val="7BCF0F4E"/>
    <w:multiLevelType w:val="hybridMultilevel"/>
    <w:tmpl w:val="870EA7B6"/>
    <w:lvl w:ilvl="0" w:tplc="4FD63EB8">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AA67B9"/>
    <w:multiLevelType w:val="multilevel"/>
    <w:tmpl w:val="FD34500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sz w:val="20"/>
      </w:rPr>
    </w:lvl>
    <w:lvl w:ilvl="2">
      <w:start w:val="1"/>
      <w:numFmt w:val="bullet"/>
      <w:lvlText w:val=""/>
      <w:lvlJc w:val="right"/>
      <w:pPr>
        <w:tabs>
          <w:tab w:val="num" w:pos="2520"/>
        </w:tabs>
        <w:ind w:left="2520" w:hanging="360"/>
      </w:pPr>
      <w:rPr>
        <w:rFonts w:ascii="Wingdings" w:hAnsi="Wingdings" w:hint="default"/>
        <w:sz w:val="20"/>
      </w:rPr>
    </w:lvl>
    <w:lvl w:ilvl="3" w:tentative="1">
      <w:start w:val="1"/>
      <w:numFmt w:val="upperRoman"/>
      <w:lvlText w:val="%4."/>
      <w:lvlJc w:val="right"/>
      <w:pPr>
        <w:tabs>
          <w:tab w:val="num" w:pos="3240"/>
        </w:tabs>
        <w:ind w:left="3240" w:hanging="360"/>
      </w:pPr>
    </w:lvl>
    <w:lvl w:ilvl="4" w:tentative="1">
      <w:start w:val="1"/>
      <w:numFmt w:val="upperRoman"/>
      <w:lvlText w:val="%5."/>
      <w:lvlJc w:val="right"/>
      <w:pPr>
        <w:tabs>
          <w:tab w:val="num" w:pos="3960"/>
        </w:tabs>
        <w:ind w:left="3960" w:hanging="360"/>
      </w:pPr>
    </w:lvl>
    <w:lvl w:ilvl="5" w:tentative="1">
      <w:start w:val="1"/>
      <w:numFmt w:val="upperRoman"/>
      <w:lvlText w:val="%6."/>
      <w:lvlJc w:val="right"/>
      <w:pPr>
        <w:tabs>
          <w:tab w:val="num" w:pos="4680"/>
        </w:tabs>
        <w:ind w:left="4680" w:hanging="360"/>
      </w:pPr>
    </w:lvl>
    <w:lvl w:ilvl="6" w:tentative="1">
      <w:start w:val="1"/>
      <w:numFmt w:val="upperRoman"/>
      <w:lvlText w:val="%7."/>
      <w:lvlJc w:val="right"/>
      <w:pPr>
        <w:tabs>
          <w:tab w:val="num" w:pos="5400"/>
        </w:tabs>
        <w:ind w:left="5400" w:hanging="360"/>
      </w:pPr>
    </w:lvl>
    <w:lvl w:ilvl="7" w:tentative="1">
      <w:start w:val="1"/>
      <w:numFmt w:val="upperRoman"/>
      <w:lvlText w:val="%8."/>
      <w:lvlJc w:val="right"/>
      <w:pPr>
        <w:tabs>
          <w:tab w:val="num" w:pos="6120"/>
        </w:tabs>
        <w:ind w:left="6120" w:hanging="360"/>
      </w:pPr>
    </w:lvl>
    <w:lvl w:ilvl="8" w:tentative="1">
      <w:start w:val="1"/>
      <w:numFmt w:val="upperRoman"/>
      <w:lvlText w:val="%9."/>
      <w:lvlJc w:val="right"/>
      <w:pPr>
        <w:tabs>
          <w:tab w:val="num" w:pos="6840"/>
        </w:tabs>
        <w:ind w:left="6840" w:hanging="360"/>
      </w:pPr>
    </w:lvl>
  </w:abstractNum>
  <w:num w:numId="1">
    <w:abstractNumId w:val="6"/>
  </w:num>
  <w:num w:numId="2">
    <w:abstractNumId w:val="2"/>
  </w:num>
  <w:num w:numId="3">
    <w:abstractNumId w:val="2"/>
    <w:lvlOverride w:ilvl="0">
      <w:lvl w:ilvl="0">
        <w:start w:val="1"/>
        <w:numFmt w:val="upperRoman"/>
        <w:lvlText w:val="%1."/>
        <w:lvlJc w:val="right"/>
        <w:pPr>
          <w:tabs>
            <w:tab w:val="num" w:pos="720"/>
          </w:tabs>
          <w:ind w:left="720" w:hanging="360"/>
        </w:pPr>
      </w:lvl>
    </w:lvlOverride>
    <w:lvlOverride w:ilvl="1">
      <w:lvl w:ilvl="1">
        <w:numFmt w:val="upperLetter"/>
        <w:lvlText w:val="%2."/>
        <w:lvlJc w:val="left"/>
      </w:lvl>
    </w:lvlOverride>
    <w:lvlOverride w:ilvl="2">
      <w:lvl w:ilvl="2">
        <w:start w:val="1"/>
        <w:numFmt w:val="bullet"/>
        <w:lvlText w:val=""/>
        <w:lvlJc w:val="right"/>
        <w:pPr>
          <w:tabs>
            <w:tab w:val="num" w:pos="2160"/>
          </w:tabs>
          <w:ind w:left="2160" w:hanging="360"/>
        </w:pPr>
        <w:rPr>
          <w:rFonts w:ascii="Wingdings" w:hAnsi="Wingdings" w:hint="default"/>
          <w:sz w:val="20"/>
        </w:rPr>
      </w:lvl>
    </w:lvlOverride>
    <w:lvlOverride w:ilvl="3">
      <w:lvl w:ilvl="3">
        <w:start w:val="1"/>
        <w:numFmt w:val="upperRoman"/>
        <w:lvlText w:val="%4."/>
        <w:lvlJc w:val="right"/>
        <w:pPr>
          <w:tabs>
            <w:tab w:val="num" w:pos="2880"/>
          </w:tabs>
          <w:ind w:left="2880" w:hanging="360"/>
        </w:pPr>
      </w:lvl>
    </w:lvlOverride>
    <w:lvlOverride w:ilvl="4">
      <w:lvl w:ilvl="4" w:tentative="1">
        <w:start w:val="1"/>
        <w:numFmt w:val="upperRoman"/>
        <w:lvlText w:val="%5."/>
        <w:lvlJc w:val="right"/>
        <w:pPr>
          <w:tabs>
            <w:tab w:val="num" w:pos="3600"/>
          </w:tabs>
          <w:ind w:left="3600" w:hanging="360"/>
        </w:pPr>
      </w:lvl>
    </w:lvlOverride>
    <w:lvlOverride w:ilvl="5">
      <w:lvl w:ilvl="5" w:tentative="1">
        <w:start w:val="1"/>
        <w:numFmt w:val="upperRoman"/>
        <w:lvlText w:val="%6."/>
        <w:lvlJc w:val="right"/>
        <w:pPr>
          <w:tabs>
            <w:tab w:val="num" w:pos="4320"/>
          </w:tabs>
          <w:ind w:left="4320" w:hanging="360"/>
        </w:pPr>
      </w:lvl>
    </w:lvlOverride>
    <w:lvlOverride w:ilvl="6">
      <w:lvl w:ilvl="6" w:tentative="1">
        <w:start w:val="1"/>
        <w:numFmt w:val="upperRoman"/>
        <w:lvlText w:val="%7."/>
        <w:lvlJc w:val="right"/>
        <w:pPr>
          <w:tabs>
            <w:tab w:val="num" w:pos="5040"/>
          </w:tabs>
          <w:ind w:left="5040" w:hanging="360"/>
        </w:pPr>
      </w:lvl>
    </w:lvlOverride>
    <w:lvlOverride w:ilvl="7">
      <w:lvl w:ilvl="7" w:tentative="1">
        <w:start w:val="1"/>
        <w:numFmt w:val="upperRoman"/>
        <w:lvlText w:val="%8."/>
        <w:lvlJc w:val="right"/>
        <w:pPr>
          <w:tabs>
            <w:tab w:val="num" w:pos="5760"/>
          </w:tabs>
          <w:ind w:left="5760" w:hanging="360"/>
        </w:pPr>
      </w:lvl>
    </w:lvlOverride>
    <w:lvlOverride w:ilvl="8">
      <w:lvl w:ilvl="8" w:tentative="1">
        <w:start w:val="1"/>
        <w:numFmt w:val="upperRoman"/>
        <w:lvlText w:val="%9."/>
        <w:lvlJc w:val="right"/>
        <w:pPr>
          <w:tabs>
            <w:tab w:val="num" w:pos="6480"/>
          </w:tabs>
          <w:ind w:left="6480" w:hanging="360"/>
        </w:pPr>
      </w:lvl>
    </w:lvlOverride>
  </w:num>
  <w:num w:numId="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4"/>
  </w:num>
  <w:num w:numId="6">
    <w:abstractNumId w:val="21"/>
  </w:num>
  <w:num w:numId="7">
    <w:abstractNumId w:val="14"/>
  </w:num>
  <w:num w:numId="8">
    <w:abstractNumId w:val="18"/>
  </w:num>
  <w:num w:numId="9">
    <w:abstractNumId w:val="13"/>
  </w:num>
  <w:num w:numId="10">
    <w:abstractNumId w:val="19"/>
  </w:num>
  <w:num w:numId="11">
    <w:abstractNumId w:val="12"/>
  </w:num>
  <w:num w:numId="12">
    <w:abstractNumId w:val="0"/>
  </w:num>
  <w:num w:numId="13">
    <w:abstractNumId w:val="1"/>
  </w:num>
  <w:num w:numId="14">
    <w:abstractNumId w:val="20"/>
  </w:num>
  <w:num w:numId="15">
    <w:abstractNumId w:val="16"/>
  </w:num>
  <w:num w:numId="16">
    <w:abstractNumId w:val="9"/>
  </w:num>
  <w:num w:numId="17">
    <w:abstractNumId w:val="2"/>
    <w:lvlOverride w:ilvl="0">
      <w:lvl w:ilvl="0">
        <w:start w:val="1"/>
        <w:numFmt w:val="upperRoman"/>
        <w:lvlText w:val="%1."/>
        <w:lvlJc w:val="right"/>
        <w:pPr>
          <w:tabs>
            <w:tab w:val="num" w:pos="720"/>
          </w:tabs>
          <w:ind w:left="720" w:hanging="360"/>
        </w:pPr>
      </w:lvl>
    </w:lvlOverride>
    <w:lvlOverride w:ilvl="1">
      <w:lvl w:ilvl="1">
        <w:numFmt w:val="upperLetter"/>
        <w:lvlText w:val="%2."/>
        <w:lvlJc w:val="left"/>
      </w:lvl>
    </w:lvlOverride>
    <w:lvlOverride w:ilvl="2">
      <w:lvl w:ilvl="2">
        <w:start w:val="1"/>
        <w:numFmt w:val="bullet"/>
        <w:lvlText w:val=""/>
        <w:lvlJc w:val="right"/>
        <w:pPr>
          <w:tabs>
            <w:tab w:val="num" w:pos="2160"/>
          </w:tabs>
          <w:ind w:left="2160" w:hanging="360"/>
        </w:pPr>
        <w:rPr>
          <w:rFonts w:ascii="Wingdings" w:hAnsi="Wingdings" w:hint="default"/>
          <w:sz w:val="20"/>
        </w:rPr>
      </w:lvl>
    </w:lvlOverride>
    <w:lvlOverride w:ilvl="3">
      <w:lvl w:ilvl="3">
        <w:start w:val="1"/>
        <w:numFmt w:val="upperRoman"/>
        <w:lvlText w:val="%4."/>
        <w:lvlJc w:val="right"/>
        <w:pPr>
          <w:tabs>
            <w:tab w:val="num" w:pos="2880"/>
          </w:tabs>
          <w:ind w:left="2880" w:hanging="360"/>
        </w:pPr>
      </w:lvl>
    </w:lvlOverride>
    <w:lvlOverride w:ilvl="4">
      <w:lvl w:ilvl="4" w:tentative="1">
        <w:start w:val="1"/>
        <w:numFmt w:val="upperRoman"/>
        <w:lvlText w:val="%5."/>
        <w:lvlJc w:val="right"/>
        <w:pPr>
          <w:tabs>
            <w:tab w:val="num" w:pos="3600"/>
          </w:tabs>
          <w:ind w:left="3600" w:hanging="360"/>
        </w:pPr>
      </w:lvl>
    </w:lvlOverride>
    <w:lvlOverride w:ilvl="5">
      <w:lvl w:ilvl="5" w:tentative="1">
        <w:start w:val="1"/>
        <w:numFmt w:val="upperRoman"/>
        <w:lvlText w:val="%6."/>
        <w:lvlJc w:val="right"/>
        <w:pPr>
          <w:tabs>
            <w:tab w:val="num" w:pos="4320"/>
          </w:tabs>
          <w:ind w:left="4320" w:hanging="360"/>
        </w:pPr>
      </w:lvl>
    </w:lvlOverride>
    <w:lvlOverride w:ilvl="6">
      <w:lvl w:ilvl="6" w:tentative="1">
        <w:start w:val="1"/>
        <w:numFmt w:val="upperRoman"/>
        <w:lvlText w:val="%7."/>
        <w:lvlJc w:val="right"/>
        <w:pPr>
          <w:tabs>
            <w:tab w:val="num" w:pos="5040"/>
          </w:tabs>
          <w:ind w:left="5040" w:hanging="360"/>
        </w:pPr>
      </w:lvl>
    </w:lvlOverride>
    <w:lvlOverride w:ilvl="7">
      <w:lvl w:ilvl="7" w:tentative="1">
        <w:start w:val="1"/>
        <w:numFmt w:val="upperRoman"/>
        <w:lvlText w:val="%8."/>
        <w:lvlJc w:val="right"/>
        <w:pPr>
          <w:tabs>
            <w:tab w:val="num" w:pos="5760"/>
          </w:tabs>
          <w:ind w:left="5760" w:hanging="360"/>
        </w:pPr>
      </w:lvl>
    </w:lvlOverride>
    <w:lvlOverride w:ilvl="8">
      <w:lvl w:ilvl="8" w:tentative="1">
        <w:start w:val="1"/>
        <w:numFmt w:val="upperRoman"/>
        <w:lvlText w:val="%9."/>
        <w:lvlJc w:val="right"/>
        <w:pPr>
          <w:tabs>
            <w:tab w:val="num" w:pos="6480"/>
          </w:tabs>
          <w:ind w:left="6480" w:hanging="360"/>
        </w:pPr>
      </w:lvl>
    </w:lvlOverride>
  </w:num>
  <w:num w:numId="18">
    <w:abstractNumId w:val="5"/>
  </w:num>
  <w:num w:numId="19">
    <w:abstractNumId w:val="7"/>
  </w:num>
  <w:num w:numId="20">
    <w:abstractNumId w:val="11"/>
  </w:num>
  <w:num w:numId="21">
    <w:abstractNumId w:val="15"/>
  </w:num>
  <w:num w:numId="22">
    <w:abstractNumId w:val="3"/>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46"/>
    <w:rsid w:val="00023BAE"/>
    <w:rsid w:val="000342F5"/>
    <w:rsid w:val="00055A4B"/>
    <w:rsid w:val="00065FE6"/>
    <w:rsid w:val="000A762A"/>
    <w:rsid w:val="000B2872"/>
    <w:rsid w:val="000D3223"/>
    <w:rsid w:val="000D563E"/>
    <w:rsid w:val="00117D8C"/>
    <w:rsid w:val="0016092D"/>
    <w:rsid w:val="001A3D85"/>
    <w:rsid w:val="001C4E42"/>
    <w:rsid w:val="001D3300"/>
    <w:rsid w:val="0024425D"/>
    <w:rsid w:val="00273091"/>
    <w:rsid w:val="0028380D"/>
    <w:rsid w:val="002A26EE"/>
    <w:rsid w:val="002A4D44"/>
    <w:rsid w:val="00377953"/>
    <w:rsid w:val="003E02E8"/>
    <w:rsid w:val="00416C95"/>
    <w:rsid w:val="004A4C4B"/>
    <w:rsid w:val="004A67C0"/>
    <w:rsid w:val="004B0462"/>
    <w:rsid w:val="004D51D0"/>
    <w:rsid w:val="004E0255"/>
    <w:rsid w:val="004F4934"/>
    <w:rsid w:val="00551A27"/>
    <w:rsid w:val="00576115"/>
    <w:rsid w:val="00590FCA"/>
    <w:rsid w:val="005A2746"/>
    <w:rsid w:val="00636162"/>
    <w:rsid w:val="00643939"/>
    <w:rsid w:val="00676B6A"/>
    <w:rsid w:val="00682E0E"/>
    <w:rsid w:val="00686BDF"/>
    <w:rsid w:val="006A4DD4"/>
    <w:rsid w:val="006D6DC2"/>
    <w:rsid w:val="00724B92"/>
    <w:rsid w:val="00727BCF"/>
    <w:rsid w:val="007D497D"/>
    <w:rsid w:val="00891BB4"/>
    <w:rsid w:val="00911B99"/>
    <w:rsid w:val="009D27D3"/>
    <w:rsid w:val="00B20C55"/>
    <w:rsid w:val="00B640B8"/>
    <w:rsid w:val="00BA5D26"/>
    <w:rsid w:val="00C1486E"/>
    <w:rsid w:val="00C85028"/>
    <w:rsid w:val="00D14B26"/>
    <w:rsid w:val="00D30422"/>
    <w:rsid w:val="00D53FB8"/>
    <w:rsid w:val="00DB4A26"/>
    <w:rsid w:val="00DB552E"/>
    <w:rsid w:val="00E26050"/>
    <w:rsid w:val="00E847E2"/>
    <w:rsid w:val="00ED4B45"/>
    <w:rsid w:val="00F6621F"/>
    <w:rsid w:val="00F8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6325"/>
  <w15:docId w15:val="{96A936A5-A773-4BC9-A497-59845EF8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2746"/>
    <w:rPr>
      <w:strike w:val="0"/>
      <w:dstrike w:val="0"/>
      <w:color w:val="132E93"/>
      <w:u w:val="none"/>
      <w:effect w:val="none"/>
    </w:rPr>
  </w:style>
  <w:style w:type="paragraph" w:styleId="NormalWeb">
    <w:name w:val="Normal (Web)"/>
    <w:basedOn w:val="Normal"/>
    <w:uiPriority w:val="99"/>
    <w:semiHidden/>
    <w:unhideWhenUsed/>
    <w:rsid w:val="005A2746"/>
    <w:pPr>
      <w:spacing w:after="240" w:line="360" w:lineRule="atLeast"/>
    </w:pPr>
    <w:rPr>
      <w:rFonts w:ascii="Times New Roman" w:eastAsia="Times New Roman" w:hAnsi="Times New Roman" w:cs="Times New Roman"/>
      <w:sz w:val="24"/>
      <w:szCs w:val="24"/>
    </w:rPr>
  </w:style>
  <w:style w:type="paragraph" w:customStyle="1" w:styleId="nomargin">
    <w:name w:val="no_margin"/>
    <w:basedOn w:val="Normal"/>
    <w:rsid w:val="005A2746"/>
    <w:pPr>
      <w:spacing w:line="360" w:lineRule="atLeast"/>
    </w:pPr>
    <w:rPr>
      <w:rFonts w:ascii="Times New Roman" w:eastAsia="Times New Roman" w:hAnsi="Times New Roman" w:cs="Times New Roman"/>
      <w:sz w:val="24"/>
      <w:szCs w:val="24"/>
    </w:rPr>
  </w:style>
  <w:style w:type="paragraph" w:customStyle="1" w:styleId="style4">
    <w:name w:val="style4"/>
    <w:basedOn w:val="Normal"/>
    <w:rsid w:val="005A2746"/>
    <w:pPr>
      <w:spacing w:line="360" w:lineRule="atLeast"/>
    </w:pPr>
    <w:rPr>
      <w:rFonts w:ascii="Arial" w:eastAsia="Times New Roman" w:hAnsi="Arial" w:cs="Arial"/>
      <w:b/>
      <w:bCs/>
      <w:color w:val="FDB813"/>
      <w:sz w:val="30"/>
      <w:szCs w:val="30"/>
    </w:rPr>
  </w:style>
  <w:style w:type="character" w:styleId="Strong">
    <w:name w:val="Strong"/>
    <w:basedOn w:val="DefaultParagraphFont"/>
    <w:uiPriority w:val="22"/>
    <w:qFormat/>
    <w:rsid w:val="005A2746"/>
    <w:rPr>
      <w:b/>
      <w:bCs/>
    </w:rPr>
  </w:style>
  <w:style w:type="paragraph" w:styleId="ListParagraph">
    <w:name w:val="List Paragraph"/>
    <w:basedOn w:val="Normal"/>
    <w:uiPriority w:val="34"/>
    <w:qFormat/>
    <w:rsid w:val="001D3300"/>
    <w:pPr>
      <w:ind w:left="720"/>
      <w:contextualSpacing/>
    </w:pPr>
  </w:style>
  <w:style w:type="paragraph" w:styleId="BalloonText">
    <w:name w:val="Balloon Text"/>
    <w:basedOn w:val="Normal"/>
    <w:link w:val="BalloonTextChar"/>
    <w:uiPriority w:val="99"/>
    <w:semiHidden/>
    <w:unhideWhenUsed/>
    <w:rsid w:val="003779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68881">
      <w:bodyDiv w:val="1"/>
      <w:marLeft w:val="0"/>
      <w:marRight w:val="0"/>
      <w:marTop w:val="0"/>
      <w:marBottom w:val="0"/>
      <w:divBdr>
        <w:top w:val="none" w:sz="0" w:space="0" w:color="auto"/>
        <w:left w:val="none" w:sz="0" w:space="0" w:color="auto"/>
        <w:bottom w:val="none" w:sz="0" w:space="0" w:color="auto"/>
        <w:right w:val="none" w:sz="0" w:space="0" w:color="auto"/>
      </w:divBdr>
      <w:divsChild>
        <w:div w:id="364982870">
          <w:marLeft w:val="0"/>
          <w:marRight w:val="0"/>
          <w:marTop w:val="0"/>
          <w:marBottom w:val="0"/>
          <w:divBdr>
            <w:top w:val="none" w:sz="0" w:space="0" w:color="auto"/>
            <w:left w:val="none" w:sz="0" w:space="0" w:color="auto"/>
            <w:bottom w:val="none" w:sz="0" w:space="0" w:color="auto"/>
            <w:right w:val="none" w:sz="0" w:space="0" w:color="auto"/>
          </w:divBdr>
          <w:divsChild>
            <w:div w:id="2145197639">
              <w:marLeft w:val="0"/>
              <w:marRight w:val="0"/>
              <w:marTop w:val="100"/>
              <w:marBottom w:val="100"/>
              <w:divBdr>
                <w:top w:val="none" w:sz="0" w:space="0" w:color="auto"/>
                <w:left w:val="none" w:sz="0" w:space="0" w:color="auto"/>
                <w:bottom w:val="none" w:sz="0" w:space="0" w:color="auto"/>
                <w:right w:val="none" w:sz="0" w:space="0" w:color="auto"/>
              </w:divBdr>
              <w:divsChild>
                <w:div w:id="534000136">
                  <w:marLeft w:val="3"/>
                  <w:marRight w:val="0"/>
                  <w:marTop w:val="0"/>
                  <w:marBottom w:val="480"/>
                  <w:divBdr>
                    <w:top w:val="none" w:sz="0" w:space="0" w:color="auto"/>
                    <w:left w:val="none" w:sz="0" w:space="0" w:color="auto"/>
                    <w:bottom w:val="none" w:sz="0" w:space="0" w:color="auto"/>
                    <w:right w:val="none" w:sz="0" w:space="0" w:color="auto"/>
                  </w:divBdr>
                  <w:divsChild>
                    <w:div w:id="851332509">
                      <w:marLeft w:val="0"/>
                      <w:marRight w:val="0"/>
                      <w:marTop w:val="0"/>
                      <w:marBottom w:val="0"/>
                      <w:divBdr>
                        <w:top w:val="none" w:sz="0" w:space="0" w:color="auto"/>
                        <w:left w:val="none" w:sz="0" w:space="0" w:color="auto"/>
                        <w:bottom w:val="none" w:sz="0" w:space="0" w:color="auto"/>
                        <w:right w:val="single" w:sz="6" w:space="24" w:color="CCCCCC"/>
                      </w:divBdr>
                    </w:div>
                  </w:divsChild>
                </w:div>
              </w:divsChild>
            </w:div>
          </w:divsChild>
        </w:div>
      </w:divsChild>
    </w:div>
    <w:div w:id="1533181123">
      <w:bodyDiv w:val="1"/>
      <w:marLeft w:val="0"/>
      <w:marRight w:val="0"/>
      <w:marTop w:val="0"/>
      <w:marBottom w:val="0"/>
      <w:divBdr>
        <w:top w:val="none" w:sz="0" w:space="0" w:color="auto"/>
        <w:left w:val="none" w:sz="0" w:space="0" w:color="auto"/>
        <w:bottom w:val="none" w:sz="0" w:space="0" w:color="auto"/>
        <w:right w:val="none" w:sz="0" w:space="0" w:color="auto"/>
      </w:divBdr>
    </w:div>
    <w:div w:id="1535119449">
      <w:bodyDiv w:val="1"/>
      <w:marLeft w:val="0"/>
      <w:marRight w:val="0"/>
      <w:marTop w:val="0"/>
      <w:marBottom w:val="0"/>
      <w:divBdr>
        <w:top w:val="none" w:sz="0" w:space="0" w:color="auto"/>
        <w:left w:val="none" w:sz="0" w:space="0" w:color="auto"/>
        <w:bottom w:val="none" w:sz="0" w:space="0" w:color="auto"/>
        <w:right w:val="none" w:sz="0" w:space="0" w:color="auto"/>
      </w:divBdr>
      <w:divsChild>
        <w:div w:id="1712999745">
          <w:marLeft w:val="0"/>
          <w:marRight w:val="0"/>
          <w:marTop w:val="0"/>
          <w:marBottom w:val="0"/>
          <w:divBdr>
            <w:top w:val="none" w:sz="0" w:space="0" w:color="auto"/>
            <w:left w:val="none" w:sz="0" w:space="0" w:color="auto"/>
            <w:bottom w:val="none" w:sz="0" w:space="0" w:color="auto"/>
            <w:right w:val="none" w:sz="0" w:space="0" w:color="auto"/>
          </w:divBdr>
          <w:divsChild>
            <w:div w:id="1038240636">
              <w:marLeft w:val="0"/>
              <w:marRight w:val="0"/>
              <w:marTop w:val="100"/>
              <w:marBottom w:val="100"/>
              <w:divBdr>
                <w:top w:val="none" w:sz="0" w:space="0" w:color="auto"/>
                <w:left w:val="none" w:sz="0" w:space="0" w:color="auto"/>
                <w:bottom w:val="none" w:sz="0" w:space="0" w:color="auto"/>
                <w:right w:val="none" w:sz="0" w:space="0" w:color="auto"/>
              </w:divBdr>
              <w:divsChild>
                <w:div w:id="1112434039">
                  <w:marLeft w:val="3"/>
                  <w:marRight w:val="0"/>
                  <w:marTop w:val="0"/>
                  <w:marBottom w:val="480"/>
                  <w:divBdr>
                    <w:top w:val="none" w:sz="0" w:space="0" w:color="auto"/>
                    <w:left w:val="none" w:sz="0" w:space="0" w:color="auto"/>
                    <w:bottom w:val="none" w:sz="0" w:space="0" w:color="auto"/>
                    <w:right w:val="none" w:sz="0" w:space="0" w:color="auto"/>
                  </w:divBdr>
                  <w:divsChild>
                    <w:div w:id="1895852638">
                      <w:marLeft w:val="0"/>
                      <w:marRight w:val="0"/>
                      <w:marTop w:val="0"/>
                      <w:marBottom w:val="0"/>
                      <w:divBdr>
                        <w:top w:val="none" w:sz="0" w:space="0" w:color="auto"/>
                        <w:left w:val="none" w:sz="0" w:space="0" w:color="auto"/>
                        <w:bottom w:val="none" w:sz="0" w:space="0" w:color="auto"/>
                        <w:right w:val="single" w:sz="6" w:space="24"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Sabella@lvh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vhwebcontent.lvh.com/?id=2254&amp;s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d81a1f4d-4e8c-421e-88ff-7f87a9e066a9">Policies and Procedures</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6AFEC38563434F94996C0386C0A9CE" ma:contentTypeVersion="1" ma:contentTypeDescription="Create a new document." ma:contentTypeScope="" ma:versionID="c739a5031dbccf1fbd6394c4787412d6">
  <xsd:schema xmlns:xsd="http://www.w3.org/2001/XMLSchema" xmlns:xs="http://www.w3.org/2001/XMLSchema" xmlns:p="http://schemas.microsoft.com/office/2006/metadata/properties" xmlns:ns2="d81a1f4d-4e8c-421e-88ff-7f87a9e066a9" targetNamespace="http://schemas.microsoft.com/office/2006/metadata/properties" ma:root="true" ma:fieldsID="574b9116a60fc2c5387e28e1a042132f" ns2:_="">
    <xsd:import namespace="d81a1f4d-4e8c-421e-88ff-7f87a9e066a9"/>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a1f4d-4e8c-421e-88ff-7f87a9e06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gendas and Membership"/>
          <xsd:enumeration value="Minutes"/>
          <xsd:enumeration value="Applications and Approval Letters"/>
          <xsd:enumeration value="Education and Training for Investigators"/>
          <xsd:enumeration value="Draft Documents"/>
          <xsd:enumeration value="Policies and Procedures"/>
          <xsd:enumeration value="Templates and For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23F91-08EF-4DCC-B276-9A81046CBD63}">
  <ds:schemaRefs>
    <ds:schemaRef ds:uri="http://schemas.microsoft.com/sharepoint/v3/contenttype/forms"/>
  </ds:schemaRefs>
</ds:datastoreItem>
</file>

<file path=customXml/itemProps2.xml><?xml version="1.0" encoding="utf-8"?>
<ds:datastoreItem xmlns:ds="http://schemas.openxmlformats.org/officeDocument/2006/customXml" ds:itemID="{D37D88EB-02EF-4CB3-BD99-0BD7558EF35A}">
  <ds:schemaRefs>
    <ds:schemaRef ds:uri="http://www.w3.org/XML/1998/namespace"/>
    <ds:schemaRef ds:uri="d81a1f4d-4e8c-421e-88ff-7f87a9e066a9"/>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B782821-2581-4366-B245-4E1C4B37C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a1f4d-4e8c-421e-88ff-7f87a9e06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DeSales University</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Sonya R</dc:creator>
  <cp:keywords/>
  <dc:description/>
  <cp:lastModifiedBy>Echols, Sonya R</cp:lastModifiedBy>
  <cp:revision>2</cp:revision>
  <cp:lastPrinted>2015-11-02T15:53:00Z</cp:lastPrinted>
  <dcterms:created xsi:type="dcterms:W3CDTF">2016-02-23T22:44:00Z</dcterms:created>
  <dcterms:modified xsi:type="dcterms:W3CDTF">2016-02-23T22:44:00Z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0x010100806AFEC38563434F94996C0386C0A9CE</vt:lpwstr>
  </property>
</Properties>
</file>